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3C" w:rsidRPr="00D3494F" w:rsidRDefault="0025523C" w:rsidP="0025523C">
      <w:pPr>
        <w:spacing w:after="120" w:line="288" w:lineRule="auto"/>
        <w:jc w:val="center"/>
        <w:rPr>
          <w:rFonts w:ascii="Times New Roman" w:hAnsi="Times New Roman" w:cs="Times New Roman"/>
        </w:rPr>
      </w:pPr>
      <w:bookmarkStart w:id="0" w:name="_GoBack"/>
      <w:bookmarkEnd w:id="0"/>
      <w:r w:rsidRPr="00D3494F">
        <w:rPr>
          <w:rStyle w:val="Policepardfaut1"/>
          <w:rFonts w:ascii="Times New Roman" w:hAnsi="Times New Roman" w:cs="Times New Roman"/>
          <w:b/>
          <w:bCs/>
          <w:smallCaps/>
        </w:rPr>
        <w:t>Position commune de la France et de l’Allemagne sur la directive ACIS</w:t>
      </w:r>
    </w:p>
    <w:p w:rsidR="00631D37" w:rsidRPr="00D3494F" w:rsidRDefault="00631D37">
      <w:pPr>
        <w:spacing w:line="276" w:lineRule="auto"/>
        <w:rPr>
          <w:rFonts w:ascii="Times New Roman" w:hAnsi="Times New Roman" w:cs="Times New Roman"/>
        </w:rPr>
      </w:pPr>
    </w:p>
    <w:p w:rsidR="00631D37" w:rsidRPr="00D3494F" w:rsidRDefault="00631D37">
      <w:pPr>
        <w:spacing w:after="120" w:line="276" w:lineRule="auto"/>
        <w:jc w:val="both"/>
        <w:rPr>
          <w:rFonts w:ascii="Times New Roman" w:hAnsi="Times New Roman" w:cs="Times New Roman"/>
        </w:rPr>
      </w:pPr>
      <w:r w:rsidRPr="00D3494F">
        <w:rPr>
          <w:rFonts w:ascii="Times New Roman" w:hAnsi="Times New Roman" w:cs="Times New Roman"/>
        </w:rPr>
        <w:t>En octobre 2016, la Commission européenne a proposé de relancer l’assiette commune consolidée pour l’impôt sur les sociétés (ACCIS) avec une approche en deux étapes prenant la forme de deux propositions de directive :</w:t>
      </w:r>
    </w:p>
    <w:p w:rsidR="00631D37" w:rsidRPr="00D3494F" w:rsidRDefault="00631D37">
      <w:pPr>
        <w:numPr>
          <w:ilvl w:val="0"/>
          <w:numId w:val="1"/>
        </w:numPr>
        <w:spacing w:after="120" w:line="276" w:lineRule="auto"/>
        <w:jc w:val="both"/>
        <w:rPr>
          <w:rFonts w:ascii="Times New Roman" w:hAnsi="Times New Roman" w:cs="Times New Roman"/>
        </w:rPr>
      </w:pPr>
      <w:r w:rsidRPr="00D3494F">
        <w:rPr>
          <w:rFonts w:ascii="Times New Roman" w:hAnsi="Times New Roman" w:cs="Times New Roman"/>
        </w:rPr>
        <w:t xml:space="preserve">une proposition de directive concernant une assiette commune pour l’impôt sur les sociétés </w:t>
      </w:r>
      <w:r w:rsidRPr="00D3494F">
        <w:rPr>
          <w:rStyle w:val="Policepardfaut1"/>
          <w:rFonts w:ascii="Times New Roman" w:hAnsi="Times New Roman" w:cs="Times New Roman"/>
        </w:rPr>
        <w:t>(</w:t>
      </w:r>
      <w:r w:rsidRPr="00D3494F">
        <w:rPr>
          <w:rStyle w:val="Policepardfaut1"/>
          <w:rFonts w:ascii="Times New Roman" w:hAnsi="Times New Roman" w:cs="Times New Roman"/>
          <w:b/>
          <w:bCs/>
        </w:rPr>
        <w:t>la directive</w:t>
      </w:r>
      <w:r w:rsidRPr="00D3494F">
        <w:rPr>
          <w:rStyle w:val="Policepardfaut1"/>
          <w:rFonts w:ascii="Times New Roman" w:hAnsi="Times New Roman" w:cs="Times New Roman"/>
        </w:rPr>
        <w:t xml:space="preserve"> </w:t>
      </w:r>
      <w:r w:rsidRPr="00D3494F">
        <w:rPr>
          <w:rStyle w:val="Policepardfaut1"/>
          <w:rFonts w:ascii="Times New Roman" w:hAnsi="Times New Roman" w:cs="Times New Roman"/>
          <w:b/>
          <w:bCs/>
        </w:rPr>
        <w:t>ACIS</w:t>
      </w:r>
      <w:r w:rsidRPr="00D3494F">
        <w:rPr>
          <w:rStyle w:val="Policepardfaut1"/>
          <w:rFonts w:ascii="Times New Roman" w:hAnsi="Times New Roman" w:cs="Times New Roman"/>
        </w:rPr>
        <w:t>)</w:t>
      </w:r>
      <w:r w:rsidRPr="00D3494F">
        <w:rPr>
          <w:rStyle w:val="Appelnotedebasdep1"/>
        </w:rPr>
        <w:footnoteReference w:id="1"/>
      </w:r>
      <w:r w:rsidRPr="00D3494F">
        <w:rPr>
          <w:rStyle w:val="Policepardfaut1"/>
          <w:rFonts w:ascii="Times New Roman" w:hAnsi="Times New Roman" w:cs="Times New Roman"/>
        </w:rPr>
        <w:t>;</w:t>
      </w:r>
    </w:p>
    <w:p w:rsidR="00631D37" w:rsidRPr="00D3494F" w:rsidRDefault="00631D37">
      <w:pPr>
        <w:numPr>
          <w:ilvl w:val="0"/>
          <w:numId w:val="1"/>
        </w:numPr>
        <w:spacing w:after="120" w:line="276" w:lineRule="auto"/>
        <w:jc w:val="both"/>
        <w:rPr>
          <w:rFonts w:ascii="Times New Roman" w:hAnsi="Times New Roman" w:cs="Times New Roman"/>
        </w:rPr>
      </w:pPr>
      <w:r w:rsidRPr="00D3494F">
        <w:rPr>
          <w:rFonts w:ascii="Times New Roman" w:hAnsi="Times New Roman" w:cs="Times New Roman"/>
        </w:rPr>
        <w:t>une proposition de directive concernant une assiette commune consolidée pour l’impôt sur les sociétés</w:t>
      </w:r>
      <w:r w:rsidRPr="00D3494F">
        <w:rPr>
          <w:rStyle w:val="Policepardfaut1"/>
          <w:rFonts w:ascii="Times New Roman" w:hAnsi="Times New Roman" w:cs="Times New Roman"/>
        </w:rPr>
        <w:t xml:space="preserve"> (</w:t>
      </w:r>
      <w:r w:rsidRPr="00D3494F">
        <w:rPr>
          <w:rStyle w:val="Policepardfaut1"/>
          <w:rFonts w:ascii="Times New Roman" w:hAnsi="Times New Roman" w:cs="Times New Roman"/>
          <w:b/>
          <w:bCs/>
        </w:rPr>
        <w:t>la directive</w:t>
      </w:r>
      <w:r w:rsidRPr="00D3494F">
        <w:rPr>
          <w:rStyle w:val="Policepardfaut1"/>
          <w:rFonts w:ascii="Times New Roman" w:hAnsi="Times New Roman" w:cs="Times New Roman"/>
        </w:rPr>
        <w:t xml:space="preserve"> </w:t>
      </w:r>
      <w:r w:rsidRPr="00D3494F">
        <w:rPr>
          <w:rStyle w:val="Policepardfaut1"/>
          <w:rFonts w:ascii="Times New Roman" w:hAnsi="Times New Roman" w:cs="Times New Roman"/>
          <w:b/>
          <w:bCs/>
        </w:rPr>
        <w:t>ACCIS</w:t>
      </w:r>
      <w:r w:rsidRPr="00D3494F">
        <w:rPr>
          <w:rStyle w:val="Policepardfaut1"/>
          <w:rFonts w:ascii="Times New Roman" w:hAnsi="Times New Roman" w:cs="Times New Roman"/>
        </w:rPr>
        <w:t>)</w:t>
      </w:r>
      <w:r w:rsidRPr="00D3494F">
        <w:rPr>
          <w:rStyle w:val="Appelnotedebasdep1"/>
        </w:rPr>
        <w:footnoteReference w:id="2"/>
      </w:r>
      <w:r w:rsidRPr="00D3494F">
        <w:rPr>
          <w:rStyle w:val="Policepardfaut1"/>
          <w:rFonts w:ascii="Times New Roman" w:hAnsi="Times New Roman" w:cs="Times New Roman"/>
        </w:rPr>
        <w:t>.</w:t>
      </w:r>
    </w:p>
    <w:p w:rsidR="00631D37" w:rsidRPr="00D3494F" w:rsidRDefault="00631D37">
      <w:pPr>
        <w:spacing w:after="120" w:line="276" w:lineRule="auto"/>
        <w:jc w:val="both"/>
        <w:rPr>
          <w:rFonts w:ascii="Times New Roman" w:hAnsi="Times New Roman" w:cs="Times New Roman"/>
        </w:rPr>
      </w:pPr>
      <w:r w:rsidRPr="00D3494F">
        <w:rPr>
          <w:rFonts w:ascii="Times New Roman" w:hAnsi="Times New Roman" w:cs="Times New Roman"/>
        </w:rPr>
        <w:t xml:space="preserve">Désireuses de promouvoir l’harmonisation fiscale en Europe, la France et l’Allemagne apportent leur entier soutien à ces deux propositions. Les deux pays sont fermement déterminés à adopter rapidement la directive ACIS. </w:t>
      </w:r>
    </w:p>
    <w:p w:rsidR="00631D37" w:rsidRPr="00D3494F" w:rsidRDefault="00631D37">
      <w:pPr>
        <w:spacing w:after="120" w:line="276" w:lineRule="auto"/>
        <w:jc w:val="both"/>
        <w:rPr>
          <w:rFonts w:ascii="Times New Roman" w:hAnsi="Times New Roman" w:cs="Times New Roman"/>
        </w:rPr>
      </w:pPr>
      <w:r w:rsidRPr="00D3494F">
        <w:rPr>
          <w:rFonts w:ascii="Times New Roman" w:hAnsi="Times New Roman" w:cs="Times New Roman"/>
        </w:rPr>
        <w:t xml:space="preserve">La France et l’Allemagne adhèrent pleinement à l’objectif général et au contenu de la directive ACIS proposée par la Commission européenne. Ainsi, la position commune qu’elles ont élaborée et qui est exposée dans le présent document concerne des modifications destinées à compléter ou amender certaines dispositions spécifiques de la directive ACIS. Quant aux autres dispositions du texte de la directive ACIS proposé par la Commission européenne, les deux pays y apportent leur entier soutien. </w:t>
      </w:r>
    </w:p>
    <w:p w:rsidR="00631D37" w:rsidRPr="00D3494F" w:rsidRDefault="00631D37">
      <w:pPr>
        <w:spacing w:after="120" w:line="276" w:lineRule="auto"/>
        <w:jc w:val="both"/>
        <w:rPr>
          <w:rFonts w:ascii="Times New Roman" w:hAnsi="Times New Roman" w:cs="Times New Roman"/>
        </w:rPr>
      </w:pPr>
      <w:r w:rsidRPr="00D3494F">
        <w:rPr>
          <w:rStyle w:val="Policepardfaut1"/>
          <w:rFonts w:ascii="Times New Roman" w:hAnsi="Times New Roman" w:cs="Times New Roman"/>
        </w:rPr>
        <w:t xml:space="preserve">Cette position commune vise à alimenter les discussions en cours sur la directive ACIS au niveau européen et à convaincre les autres États membres de l’adopter dès que possible, avant d’envisager l’adoption éventuelle de la directive ACCIS. </w:t>
      </w:r>
    </w:p>
    <w:p w:rsidR="00631D37" w:rsidRPr="00D3494F" w:rsidRDefault="00631D37">
      <w:pPr>
        <w:spacing w:after="120" w:line="288" w:lineRule="auto"/>
        <w:jc w:val="both"/>
        <w:rPr>
          <w:rFonts w:ascii="Times New Roman" w:hAnsi="Times New Roman" w:cs="Times New Roman"/>
        </w:rPr>
      </w:pPr>
      <w:r w:rsidRPr="00D3494F">
        <w:rPr>
          <w:rStyle w:val="Policepardfaut1"/>
          <w:rFonts w:ascii="Times New Roman" w:hAnsi="Times New Roman" w:cs="Times New Roman"/>
          <w:b/>
          <w:bCs/>
          <w:smallCaps/>
        </w:rPr>
        <w:t xml:space="preserve">I. Portée et principes généraux </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Les principaux résultats que l’on peut attendre d’une harmonisation de l’assiette d’imposition sont une plus grande transparence et un renforcement de la compétitivité de l’Union européenne en général. Ces résultats ne peuvent être atteints que si cette harmonisation s’applique à toutes les entreprises acquittant l’impôt sur les sociétés. </w:t>
      </w:r>
      <w:r w:rsidRPr="00D3494F">
        <w:rPr>
          <w:rFonts w:ascii="Times New Roman" w:hAnsi="Times New Roman" w:cs="Times New Roman"/>
        </w:rPr>
        <w:t xml:space="preserve">La France et l’Allemagne considèrent donc qu’il faudrait élargir le </w:t>
      </w:r>
      <w:r w:rsidRPr="00D3494F">
        <w:rPr>
          <w:rFonts w:ascii="Times New Roman" w:hAnsi="Times New Roman" w:cs="Times New Roman"/>
          <w:b/>
          <w:bCs/>
        </w:rPr>
        <w:t xml:space="preserve">champ d’application de </w:t>
      </w:r>
      <w:r w:rsidRPr="00D3494F">
        <w:rPr>
          <w:rStyle w:val="Policepardfaut1"/>
          <w:rFonts w:ascii="Times New Roman" w:hAnsi="Times New Roman" w:cs="Times New Roman"/>
          <w:b/>
          <w:bCs/>
        </w:rPr>
        <w:t>la directive ACIS</w:t>
      </w:r>
      <w:r w:rsidRPr="00D3494F">
        <w:rPr>
          <w:rStyle w:val="Policepardfaut1"/>
          <w:rFonts w:ascii="Times New Roman" w:hAnsi="Times New Roman" w:cs="Times New Roman"/>
        </w:rPr>
        <w:t xml:space="preserve"> en la rendant d’application obligatoire pour toutes les entreprises assujetties à l’impôt sur les sociétés, quelle que soit leur structure juridique ou leur taille. </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Fonts w:ascii="Times New Roman" w:hAnsi="Times New Roman" w:cs="Times New Roman"/>
        </w:rPr>
        <w:t xml:space="preserve">La France et l’Allemagne acceptent les principes généraux en matière de </w:t>
      </w:r>
      <w:r w:rsidRPr="00D3494F">
        <w:rPr>
          <w:rFonts w:ascii="Times New Roman" w:hAnsi="Times New Roman" w:cs="Times New Roman"/>
          <w:b/>
          <w:bCs/>
        </w:rPr>
        <w:t>comptabilisation des bénéfices</w:t>
      </w:r>
      <w:r w:rsidRPr="00D3494F">
        <w:rPr>
          <w:rFonts w:ascii="Times New Roman" w:hAnsi="Times New Roman" w:cs="Times New Roman"/>
        </w:rPr>
        <w:t xml:space="preserve"> </w:t>
      </w:r>
      <w:r w:rsidRPr="00D3494F">
        <w:rPr>
          <w:rFonts w:ascii="Times New Roman" w:hAnsi="Times New Roman" w:cs="Times New Roman"/>
          <w:b/>
          <w:bCs/>
        </w:rPr>
        <w:t>et</w:t>
      </w:r>
      <w:r w:rsidRPr="00D3494F">
        <w:rPr>
          <w:rFonts w:ascii="Times New Roman" w:hAnsi="Times New Roman" w:cs="Times New Roman"/>
        </w:rPr>
        <w:t xml:space="preserve"> </w:t>
      </w:r>
      <w:r w:rsidRPr="00D3494F">
        <w:rPr>
          <w:rFonts w:ascii="Times New Roman" w:hAnsi="Times New Roman" w:cs="Times New Roman"/>
          <w:b/>
          <w:bCs/>
        </w:rPr>
        <w:t xml:space="preserve">des pertes </w:t>
      </w:r>
      <w:r w:rsidRPr="00D3494F">
        <w:rPr>
          <w:rFonts w:ascii="Times New Roman" w:hAnsi="Times New Roman" w:cs="Times New Roman"/>
        </w:rPr>
        <w:t xml:space="preserve">que propose la directive ACIS. Cependant, les deux pays considèrent que ces principes devraient être complétés par une règle générale prévoyant que l’assiette fiscale est établie sur la base de </w:t>
      </w:r>
      <w:r w:rsidRPr="00D3494F">
        <w:rPr>
          <w:rFonts w:ascii="Times New Roman" w:hAnsi="Times New Roman" w:cs="Times New Roman"/>
          <w:b/>
          <w:bCs/>
        </w:rPr>
        <w:t>principes comptables</w:t>
      </w:r>
      <w:r w:rsidRPr="00D3494F">
        <w:rPr>
          <w:rFonts w:ascii="Times New Roman" w:hAnsi="Times New Roman" w:cs="Times New Roman"/>
        </w:rPr>
        <w:t xml:space="preserve"> et calculée selon la méthode de la variation de la valeur de l’actif net, afin d’utiliser une méthode simple et permettant les comparaisons et de réduire au minimum la charge administrative.</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Les deux pays considèrent qu’</w:t>
      </w:r>
      <w:r w:rsidRPr="00D3494F">
        <w:rPr>
          <w:rFonts w:ascii="Times New Roman" w:hAnsi="Times New Roman" w:cs="Times New Roman"/>
        </w:rPr>
        <w:t>une assiette harmonisée de l’impôt</w:t>
      </w:r>
      <w:r w:rsidRPr="00D3494F">
        <w:rPr>
          <w:rStyle w:val="Policepardfaut1"/>
          <w:rFonts w:ascii="Times New Roman" w:hAnsi="Times New Roman" w:cs="Times New Roman"/>
        </w:rPr>
        <w:t xml:space="preserve"> sur les sociétés ne devrait comporter </w:t>
      </w:r>
      <w:r w:rsidRPr="00D3494F">
        <w:rPr>
          <w:rStyle w:val="Policepardfaut1"/>
          <w:rFonts w:ascii="Times New Roman" w:hAnsi="Times New Roman" w:cs="Times New Roman"/>
          <w:b/>
          <w:bCs/>
        </w:rPr>
        <w:t>aucune incitation fiscale</w:t>
      </w:r>
      <w:r w:rsidRPr="00D3494F">
        <w:rPr>
          <w:rStyle w:val="Policepardfaut1"/>
          <w:rFonts w:ascii="Times New Roman" w:hAnsi="Times New Roman" w:cs="Times New Roman"/>
        </w:rPr>
        <w:t xml:space="preserve">, dans la mesure où l’objectif de la directive ACIS est d’harmoniser l’assiette de l’impôt sur les sociétés. Par conséquent, la France et l’Allemagne ne </w:t>
      </w:r>
      <w:r w:rsidRPr="00D3494F">
        <w:rPr>
          <w:rStyle w:val="Policepardfaut1"/>
          <w:rFonts w:ascii="Times New Roman" w:hAnsi="Times New Roman" w:cs="Times New Roman"/>
        </w:rPr>
        <w:lastRenderedPageBreak/>
        <w:t>sont pas favorables aux dispositions relatives aux incitations fiscales en matière de recherche et développement (article 9 de la directive ACIS), ni à celles relatives au financement sur fonds propres (article 11 de la même directive). Pour parvenir à une véritable harmonisation de l’assiette de l’impôt sur les sociétés, il conviendra de poursuivre les discussions sur la possibilité pour les États membres de mettre en place d’autres mesures de politique fiscale n’entrant pas dans le champ d’application de la directive ACIS (par exemple, les crédits d’impôts), et sur le rapprochement des taux d’imposition des entreprises.</w:t>
      </w:r>
    </w:p>
    <w:p w:rsidR="00631D37" w:rsidRPr="00D3494F" w:rsidRDefault="00631D37">
      <w:pPr>
        <w:numPr>
          <w:ilvl w:val="0"/>
          <w:numId w:val="2"/>
        </w:numPr>
        <w:spacing w:after="120" w:line="288" w:lineRule="auto"/>
        <w:ind w:left="426" w:hanging="426"/>
        <w:jc w:val="both"/>
        <w:rPr>
          <w:rStyle w:val="Policepardfaut1"/>
          <w:rFonts w:ascii="Times New Roman" w:hAnsi="Times New Roman" w:cs="Times New Roman"/>
        </w:rPr>
      </w:pPr>
      <w:r w:rsidRPr="00D3494F">
        <w:rPr>
          <w:rStyle w:val="Policepardfaut1"/>
          <w:rFonts w:ascii="Times New Roman" w:hAnsi="Times New Roman" w:cs="Times New Roman"/>
        </w:rPr>
        <w:t xml:space="preserve">Les deux pays ne sont pas favorables à l’introduction dans la directive de dispositions concernant la </w:t>
      </w:r>
      <w:r w:rsidRPr="00D3494F">
        <w:rPr>
          <w:rStyle w:val="Policepardfaut1"/>
          <w:rFonts w:ascii="Times New Roman" w:hAnsi="Times New Roman" w:cs="Times New Roman"/>
          <w:b/>
          <w:bCs/>
        </w:rPr>
        <w:t>compensation transfrontalière des pertes</w:t>
      </w:r>
      <w:r w:rsidRPr="00D3494F">
        <w:rPr>
          <w:rStyle w:val="Policepardfaut1"/>
          <w:rFonts w:ascii="Times New Roman" w:hAnsi="Times New Roman" w:cs="Times New Roman"/>
        </w:rPr>
        <w:t xml:space="preserve"> (article 42 de la directive ACIS), sujet qui devrait être discuté au cours de la deuxième étape, dans le cadre des négociations sur la directive ACCIS. </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La directive ACIS présuppose que les </w:t>
      </w:r>
      <w:r w:rsidRPr="00D3494F">
        <w:rPr>
          <w:rStyle w:val="Policepardfaut1"/>
          <w:rFonts w:ascii="Times New Roman" w:hAnsi="Times New Roman" w:cs="Times New Roman"/>
          <w:b/>
          <w:bCs/>
        </w:rPr>
        <w:t xml:space="preserve">régimes nationaux d’imposition des groupes de sociétés </w:t>
      </w:r>
      <w:r w:rsidRPr="00D3494F">
        <w:rPr>
          <w:rStyle w:val="Policepardfaut1"/>
          <w:rFonts w:ascii="Times New Roman" w:hAnsi="Times New Roman" w:cs="Times New Roman"/>
        </w:rPr>
        <w:t xml:space="preserve">resteront en vigueur jusqu’à la mise en œuvre de la directive ACCIS. Dans un souci de clarté, il conviendrait cependant d’en faire mention expresse dans la directive ACIS. </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Fonts w:ascii="Times New Roman" w:hAnsi="Times New Roman" w:cs="Times New Roman"/>
        </w:rPr>
        <w:t xml:space="preserve">La France et l’Allemagne </w:t>
      </w:r>
      <w:r w:rsidRPr="00D3494F">
        <w:rPr>
          <w:rStyle w:val="Policepardfaut1"/>
          <w:rFonts w:ascii="Times New Roman" w:hAnsi="Times New Roman" w:cs="Times New Roman"/>
        </w:rPr>
        <w:t>ne sont pas favorables à l’adoption d’</w:t>
      </w:r>
      <w:r w:rsidRPr="00D3494F">
        <w:rPr>
          <w:rStyle w:val="Policepardfaut1"/>
          <w:rFonts w:ascii="Times New Roman" w:hAnsi="Times New Roman" w:cs="Times New Roman"/>
          <w:b/>
          <w:bCs/>
        </w:rPr>
        <w:t>actes délégués</w:t>
      </w:r>
      <w:r w:rsidRPr="00D3494F">
        <w:rPr>
          <w:rStyle w:val="Policepardfaut1"/>
          <w:rFonts w:ascii="Times New Roman" w:hAnsi="Times New Roman" w:cs="Times New Roman"/>
        </w:rPr>
        <w:t>, dans la mesure où le Conseil devrait définir directement dans la directive toutes les règles juridiques substantielles.</w:t>
      </w:r>
    </w:p>
    <w:p w:rsidR="00631D37" w:rsidRPr="00D3494F" w:rsidRDefault="00631D37">
      <w:pPr>
        <w:numPr>
          <w:ilvl w:val="0"/>
          <w:numId w:val="2"/>
        </w:numPr>
        <w:spacing w:after="120" w:line="288" w:lineRule="auto"/>
        <w:ind w:left="426" w:hanging="426"/>
        <w:jc w:val="both"/>
        <w:rPr>
          <w:rStyle w:val="Policepardfaut1"/>
          <w:rFonts w:ascii="Times New Roman" w:hAnsi="Times New Roman" w:cs="Times New Roman"/>
          <w:b/>
          <w:bCs/>
          <w:smallCaps/>
        </w:rPr>
      </w:pPr>
      <w:r w:rsidRPr="00D3494F">
        <w:rPr>
          <w:rStyle w:val="Policepardfaut1"/>
          <w:rFonts w:ascii="Times New Roman" w:hAnsi="Times New Roman" w:cs="Times New Roman"/>
        </w:rPr>
        <w:t xml:space="preserve">La directive ACIS impliquant un effort d’adaptation technique, les deux pays considèrent comme </w:t>
      </w:r>
      <w:r w:rsidRPr="00D3494F">
        <w:rPr>
          <w:rStyle w:val="Policepardfaut1"/>
          <w:rFonts w:ascii="Times New Roman" w:hAnsi="Times New Roman" w:cs="Times New Roman"/>
          <w:b/>
          <w:bCs/>
        </w:rPr>
        <w:t>raisonnable la mise en place d’une période de transition</w:t>
      </w:r>
      <w:r w:rsidRPr="00D3494F">
        <w:rPr>
          <w:rStyle w:val="Policepardfaut1"/>
          <w:rFonts w:ascii="Times New Roman" w:hAnsi="Times New Roman" w:cs="Times New Roman"/>
        </w:rPr>
        <w:t xml:space="preserve"> d’au moins 4 ans. Les dispositions transitoires doivent être incluses dans la directive. </w:t>
      </w:r>
    </w:p>
    <w:p w:rsidR="00631D37" w:rsidRPr="00D3494F" w:rsidRDefault="00631D37">
      <w:pPr>
        <w:spacing w:after="120" w:line="288" w:lineRule="auto"/>
        <w:jc w:val="both"/>
        <w:rPr>
          <w:rFonts w:ascii="Times New Roman" w:hAnsi="Times New Roman" w:cs="Times New Roman"/>
          <w:b/>
          <w:bCs/>
          <w:smallCaps/>
        </w:rPr>
      </w:pPr>
      <w:r w:rsidRPr="00D3494F">
        <w:rPr>
          <w:rFonts w:ascii="Times New Roman" w:hAnsi="Times New Roman" w:cs="Times New Roman"/>
          <w:b/>
          <w:bCs/>
          <w:smallCaps/>
        </w:rPr>
        <w:t xml:space="preserve">II. DÉFINITION DE L’ASSIETTE </w:t>
      </w:r>
      <w:r w:rsidRPr="00D3494F">
        <w:rPr>
          <w:rFonts w:ascii="Times New Roman" w:hAnsi="Times New Roman" w:cs="Times New Roman"/>
          <w:b/>
          <w:bCs/>
        </w:rPr>
        <w:t xml:space="preserve">D’IMPOSITION </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Pour ce qui est </w:t>
      </w:r>
      <w:r w:rsidRPr="00D3494F">
        <w:rPr>
          <w:rStyle w:val="Policepardfaut1"/>
          <w:rFonts w:ascii="Times New Roman" w:hAnsi="Times New Roman" w:cs="Times New Roman"/>
          <w:b/>
          <w:bCs/>
        </w:rPr>
        <w:t>des</w:t>
      </w:r>
      <w:r w:rsidRPr="00D3494F">
        <w:rPr>
          <w:rStyle w:val="Policepardfaut1"/>
          <w:rFonts w:ascii="Times New Roman" w:hAnsi="Times New Roman" w:cs="Times New Roman"/>
        </w:rPr>
        <w:t xml:space="preserve"> </w:t>
      </w:r>
      <w:r w:rsidRPr="00D3494F">
        <w:rPr>
          <w:rStyle w:val="Policepardfaut1"/>
          <w:rFonts w:ascii="Times New Roman" w:hAnsi="Times New Roman" w:cs="Times New Roman"/>
          <w:b/>
          <w:bCs/>
        </w:rPr>
        <w:t>produits et des charges</w:t>
      </w:r>
      <w:r w:rsidRPr="00D3494F">
        <w:rPr>
          <w:rStyle w:val="Policepardfaut1"/>
          <w:rFonts w:ascii="Times New Roman" w:hAnsi="Times New Roman" w:cs="Times New Roman"/>
        </w:rPr>
        <w:t xml:space="preserve">, la France et l’Allemagne proposent les quatre modifications suivantes :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 xml:space="preserve">les deux pays acceptent la </w:t>
      </w:r>
      <w:r w:rsidRPr="00D3494F">
        <w:rPr>
          <w:rStyle w:val="Policepardfaut1"/>
          <w:rFonts w:ascii="Times New Roman" w:hAnsi="Times New Roman" w:cs="Times New Roman"/>
          <w:b/>
          <w:bCs/>
        </w:rPr>
        <w:t>déduction de</w:t>
      </w:r>
      <w:r w:rsidRPr="00D3494F">
        <w:rPr>
          <w:rStyle w:val="Policepardfaut1"/>
          <w:rFonts w:ascii="Times New Roman" w:hAnsi="Times New Roman" w:cs="Times New Roman"/>
        </w:rPr>
        <w:t xml:space="preserve"> </w:t>
      </w:r>
      <w:r w:rsidRPr="00D3494F">
        <w:rPr>
          <w:rStyle w:val="Policepardfaut1"/>
          <w:rFonts w:ascii="Times New Roman" w:hAnsi="Times New Roman" w:cs="Times New Roman"/>
          <w:b/>
          <w:bCs/>
        </w:rPr>
        <w:t>tous les impôts et taxes</w:t>
      </w:r>
      <w:r w:rsidRPr="00D3494F">
        <w:rPr>
          <w:rStyle w:val="Policepardfaut1"/>
          <w:rFonts w:ascii="Times New Roman" w:hAnsi="Times New Roman" w:cs="Times New Roman"/>
        </w:rPr>
        <w:t xml:space="preserve"> autres que</w:t>
      </w:r>
      <w:r w:rsidRPr="00D3494F">
        <w:rPr>
          <w:rFonts w:ascii="Times New Roman" w:hAnsi="Times New Roman" w:cs="Times New Roman"/>
        </w:rPr>
        <w:t xml:space="preserve"> l’impôt sur les sociétés et les impôts similaires sur les bénéfices</w:t>
      </w:r>
      <w:r w:rsidRPr="00D3494F">
        <w:rPr>
          <w:rStyle w:val="Policepardfaut1"/>
          <w:rFonts w:ascii="Times New Roman" w:hAnsi="Times New Roman" w:cs="Times New Roman"/>
        </w:rPr>
        <w:t xml:space="preserve"> (article 12 de la directive ACIS), mais considèrent que les prélèvements spéciaux (par exemple, les prélèvements sur les établissements financiers) ne devraient pas être déductibles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l’exonération des distributions de dividendes (régime société mère – filiale) et des plus-values (cession de titres de participation) en vertu de la</w:t>
      </w:r>
      <w:r w:rsidRPr="00D3494F">
        <w:rPr>
          <w:rStyle w:val="Policepardfaut1"/>
          <w:rFonts w:ascii="Times New Roman" w:hAnsi="Times New Roman" w:cs="Times New Roman"/>
          <w:b/>
          <w:bCs/>
        </w:rPr>
        <w:t xml:space="preserve"> règle d’exonération des produits de participation </w:t>
      </w:r>
      <w:r w:rsidRPr="00D3494F">
        <w:rPr>
          <w:rStyle w:val="Policepardfaut1"/>
          <w:rFonts w:ascii="Times New Roman" w:hAnsi="Times New Roman" w:cs="Times New Roman"/>
        </w:rPr>
        <w:t>(article 8 de la directive ACIS) devrait donner lieu à une déduction forfaitaire des charges d’exploitation non-déductibles à hauteur de 5 % du revenu exonéré</w:t>
      </w:r>
      <w:r w:rsidR="00536255" w:rsidRPr="00D3494F">
        <w:rPr>
          <w:rStyle w:val="Policepardfaut1"/>
          <w:rFonts w:ascii="Times New Roman" w:hAnsi="Times New Roman" w:cs="Times New Roman"/>
        </w:rPr>
        <w:t>. Il conviendrait également de tenir compte de l’impact sur le capital risque et les start-ups</w:t>
      </w:r>
      <w:r w:rsidRPr="00D3494F">
        <w:rPr>
          <w:rStyle w:val="Policepardfaut1"/>
          <w:rFonts w:ascii="Times New Roman" w:hAnsi="Times New Roman" w:cs="Times New Roman"/>
        </w:rPr>
        <w:t xml:space="preserve"> ;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b/>
          <w:bCs/>
        </w:rPr>
        <w:t xml:space="preserve">les frais de représentation </w:t>
      </w:r>
      <w:r w:rsidRPr="00D3494F">
        <w:rPr>
          <w:rStyle w:val="Policepardfaut1"/>
          <w:rFonts w:ascii="Times New Roman" w:hAnsi="Times New Roman" w:cs="Times New Roman"/>
        </w:rPr>
        <w:t xml:space="preserve">(article 12 de la directive ACIS) devraient être déductibles lorsqu’il s’agit de frais professionnels, à condition que leur montant soit raisonnable, et 25 % des frais de repas et de boissons devraient rester non-déductibles ; la France et l’Allemagne sont favorables à l’élaboration d’une liste des frais non-déductibles. </w:t>
      </w:r>
    </w:p>
    <w:p w:rsidR="00631D37" w:rsidRPr="00D3494F" w:rsidRDefault="00631D37">
      <w:pPr>
        <w:numPr>
          <w:ilvl w:val="0"/>
          <w:numId w:val="1"/>
        </w:numPr>
        <w:spacing w:after="120" w:line="288" w:lineRule="auto"/>
        <w:jc w:val="both"/>
        <w:rPr>
          <w:rStyle w:val="Policepardfaut1"/>
          <w:rFonts w:ascii="Times New Roman" w:hAnsi="Times New Roman" w:cs="Times New Roman"/>
        </w:rPr>
      </w:pPr>
      <w:r w:rsidRPr="00D3494F">
        <w:rPr>
          <w:rStyle w:val="Policepardfaut1"/>
          <w:rFonts w:ascii="Times New Roman" w:hAnsi="Times New Roman" w:cs="Times New Roman"/>
        </w:rPr>
        <w:t xml:space="preserve">la directive ACIS devrait également définir la notion de </w:t>
      </w:r>
      <w:r w:rsidRPr="00D3494F">
        <w:rPr>
          <w:rStyle w:val="Policepardfaut1"/>
          <w:rFonts w:ascii="Times New Roman" w:hAnsi="Times New Roman" w:cs="Times New Roman"/>
          <w:b/>
          <w:bCs/>
        </w:rPr>
        <w:t>distribution cachée de bénéfices</w:t>
      </w:r>
      <w:r w:rsidRPr="00D3494F">
        <w:rPr>
          <w:rStyle w:val="Policepardfaut1"/>
          <w:rFonts w:ascii="Times New Roman" w:hAnsi="Times New Roman" w:cs="Times New Roman"/>
        </w:rPr>
        <w:t xml:space="preserve"> pour couvrir les cas dans lesquels un contribuable a renoncé à réclamer le paiement de biens ou de services, et prévoir leur intégration dans l’assiette de l’impôt. </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Les deux pays soutiennent la possibilité offerte de </w:t>
      </w:r>
      <w:r w:rsidRPr="00D3494F">
        <w:rPr>
          <w:rStyle w:val="Policepardfaut1"/>
          <w:rFonts w:ascii="Times New Roman" w:hAnsi="Times New Roman" w:cs="Times New Roman"/>
          <w:b/>
          <w:bCs/>
        </w:rPr>
        <w:t>déduire les dons et libéralités</w:t>
      </w:r>
      <w:r w:rsidRPr="00D3494F">
        <w:rPr>
          <w:rStyle w:val="Policepardfaut1"/>
          <w:rFonts w:ascii="Times New Roman" w:hAnsi="Times New Roman" w:cs="Times New Roman"/>
        </w:rPr>
        <w:t xml:space="preserve"> versés aux organisations caritatives (article 9 de la directive ACIS), mais la liberté devrait être laissée aux </w:t>
      </w:r>
      <w:r w:rsidRPr="00D3494F">
        <w:rPr>
          <w:rStyle w:val="Policepardfaut1"/>
          <w:rFonts w:ascii="Times New Roman" w:hAnsi="Times New Roman" w:cs="Times New Roman"/>
        </w:rPr>
        <w:lastRenderedPageBreak/>
        <w:t xml:space="preserve">États membres d’employer aux mêmes fins d’autres mesures de politique fiscale (comme les crédits d’impôt). </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Concernant l’</w:t>
      </w:r>
      <w:r w:rsidRPr="00D3494F">
        <w:rPr>
          <w:rStyle w:val="Policepardfaut1"/>
          <w:rFonts w:ascii="Times New Roman" w:hAnsi="Times New Roman" w:cs="Times New Roman"/>
          <w:b/>
          <w:bCs/>
        </w:rPr>
        <w:t>amortissement des immobilisations</w:t>
      </w:r>
      <w:r w:rsidRPr="00D3494F">
        <w:rPr>
          <w:rStyle w:val="Policepardfaut1"/>
          <w:rFonts w:ascii="Times New Roman" w:hAnsi="Times New Roman" w:cs="Times New Roman"/>
        </w:rPr>
        <w:t>, les deux pays soutiennent le principe de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la déduction immédiate des immobilisations de moindre valeur et du mécanisme de regroupement pour déterminer la durée de vie utile des immobilisations. En revanche, ils ne soutiennent pas l’</w:t>
      </w:r>
      <w:r w:rsidRPr="00D3494F">
        <w:rPr>
          <w:rStyle w:val="Policepardfaut1"/>
          <w:rFonts w:ascii="Times New Roman" w:hAnsi="Times New Roman" w:cs="Times New Roman"/>
          <w:b/>
          <w:bCs/>
        </w:rPr>
        <w:t>amortissement d’un panier d’immobilisations</w:t>
      </w:r>
      <w:r w:rsidRPr="00D3494F">
        <w:rPr>
          <w:rStyle w:val="Policepardfaut1"/>
          <w:rFonts w:ascii="Times New Roman" w:hAnsi="Times New Roman" w:cs="Times New Roman"/>
        </w:rPr>
        <w:t xml:space="preserve"> car cela va à l’encontre de la simplification administrative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 xml:space="preserve">l’amortissement fiscal d’un </w:t>
      </w:r>
      <w:r w:rsidRPr="00D3494F">
        <w:rPr>
          <w:rStyle w:val="Policepardfaut1"/>
          <w:rFonts w:ascii="Times New Roman" w:hAnsi="Times New Roman" w:cs="Times New Roman"/>
          <w:b/>
          <w:bCs/>
        </w:rPr>
        <w:t>goodwill acquis</w:t>
      </w:r>
      <w:r w:rsidRPr="00D3494F">
        <w:rPr>
          <w:rStyle w:val="Policepardfaut1"/>
          <w:rFonts w:ascii="Times New Roman" w:hAnsi="Times New Roman" w:cs="Times New Roman"/>
        </w:rPr>
        <w:t xml:space="preserve"> (article 32 de la directive ACIS). En revanche, ils considèrent que les États membres devraient être autorisés à introduire cette mesure progressivement, au travers de l’amortissement du goodwill comptabilisé après la date de mise en œuvre de la directive ACIS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le</w:t>
      </w:r>
      <w:r w:rsidRPr="00D3494F">
        <w:rPr>
          <w:rStyle w:val="Policepardfaut1"/>
          <w:rFonts w:ascii="Times New Roman" w:hAnsi="Times New Roman" w:cs="Times New Roman"/>
          <w:b/>
          <w:bCs/>
        </w:rPr>
        <w:t xml:space="preserve"> droit d’amortissement</w:t>
      </w:r>
      <w:r w:rsidRPr="00D3494F">
        <w:rPr>
          <w:rStyle w:val="Policepardfaut1"/>
          <w:rFonts w:ascii="Times New Roman" w:hAnsi="Times New Roman" w:cs="Times New Roman"/>
        </w:rPr>
        <w:t xml:space="preserve"> pour le propriétaire économique de l’immobilisation (article 32 de la directive ACIS), en veillant à considérer le bailleur des contrats de location-vente comme le propriétaire économique.</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Au sujet des </w:t>
      </w:r>
      <w:r w:rsidRPr="00D3494F">
        <w:rPr>
          <w:rStyle w:val="Policepardfaut1"/>
          <w:rFonts w:ascii="Times New Roman" w:hAnsi="Times New Roman" w:cs="Times New Roman"/>
          <w:b/>
          <w:bCs/>
        </w:rPr>
        <w:t xml:space="preserve">provisions </w:t>
      </w:r>
      <w:r w:rsidRPr="00D3494F">
        <w:rPr>
          <w:rStyle w:val="Policepardfaut1"/>
          <w:rFonts w:ascii="Times New Roman" w:hAnsi="Times New Roman" w:cs="Times New Roman"/>
        </w:rPr>
        <w:t>(article 23 de la directive ACIS), la France et l’Allemagne considèrent que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 xml:space="preserve">la directive ACIS, qui se focalise exclusivement sur les obligations juridiques, devrait mieux s’accorder avec la </w:t>
      </w:r>
      <w:r w:rsidRPr="00D3494F">
        <w:rPr>
          <w:rStyle w:val="Policepardfaut1"/>
          <w:rFonts w:ascii="Times New Roman" w:hAnsi="Times New Roman" w:cs="Times New Roman"/>
          <w:b/>
          <w:bCs/>
        </w:rPr>
        <w:t>réalité économique</w:t>
      </w:r>
      <w:r w:rsidRPr="00D3494F">
        <w:rPr>
          <w:rStyle w:val="Policepardfaut1"/>
          <w:rFonts w:ascii="Times New Roman" w:hAnsi="Times New Roman" w:cs="Times New Roman"/>
        </w:rPr>
        <w:t>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conformément aux principes de la prévisibilité, l’</w:t>
      </w:r>
      <w:r w:rsidRPr="00D3494F">
        <w:rPr>
          <w:rStyle w:val="Policepardfaut1"/>
          <w:rFonts w:ascii="Times New Roman" w:hAnsi="Times New Roman" w:cs="Times New Roman"/>
          <w:b/>
          <w:bCs/>
        </w:rPr>
        <w:t>évaluation des provisions</w:t>
      </w:r>
      <w:r w:rsidRPr="00D3494F">
        <w:rPr>
          <w:rStyle w:val="Policepardfaut1"/>
          <w:rFonts w:ascii="Times New Roman" w:hAnsi="Times New Roman" w:cs="Times New Roman"/>
        </w:rPr>
        <w:t xml:space="preserve"> devrait reposer sur un taux d’actualisation fixe.</w:t>
      </w:r>
    </w:p>
    <w:p w:rsidR="00631D37" w:rsidRPr="00D3494F" w:rsidRDefault="00631D37">
      <w:pPr>
        <w:spacing w:after="120" w:line="288" w:lineRule="auto"/>
        <w:ind w:left="360"/>
        <w:jc w:val="both"/>
        <w:rPr>
          <w:rFonts w:ascii="Times New Roman" w:hAnsi="Times New Roman" w:cs="Times New Roman"/>
        </w:rPr>
      </w:pPr>
      <w:r w:rsidRPr="00D3494F">
        <w:rPr>
          <w:rStyle w:val="Policepardfaut1"/>
          <w:rFonts w:ascii="Times New Roman" w:hAnsi="Times New Roman" w:cs="Times New Roman"/>
        </w:rPr>
        <w:t>La possibilité d’appliquer des restrictions limitées à la constatation de certaines provisions devrait être davantage discutée.</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À propos des </w:t>
      </w:r>
      <w:r w:rsidRPr="00D3494F">
        <w:rPr>
          <w:rStyle w:val="Policepardfaut1"/>
          <w:rFonts w:ascii="Times New Roman" w:hAnsi="Times New Roman" w:cs="Times New Roman"/>
          <w:b/>
          <w:bCs/>
        </w:rPr>
        <w:t>pertes fiscales</w:t>
      </w:r>
      <w:r w:rsidRPr="00D3494F">
        <w:rPr>
          <w:rStyle w:val="Policepardfaut1"/>
          <w:rFonts w:ascii="Times New Roman" w:hAnsi="Times New Roman" w:cs="Times New Roman"/>
        </w:rPr>
        <w:t xml:space="preserve"> (article 41 de la directive ACIS), la France et l’Allemagne considèrent que la directive ACIS devrait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 xml:space="preserve">inclure une </w:t>
      </w:r>
      <w:r w:rsidRPr="00D3494F">
        <w:rPr>
          <w:rStyle w:val="Policepardfaut1"/>
          <w:rFonts w:ascii="Times New Roman" w:hAnsi="Times New Roman" w:cs="Times New Roman"/>
          <w:b/>
          <w:bCs/>
        </w:rPr>
        <w:t>taxation minimale des bénéfices</w:t>
      </w:r>
      <w:r w:rsidRPr="00D3494F">
        <w:rPr>
          <w:rStyle w:val="Policepardfaut1"/>
          <w:rFonts w:ascii="Times New Roman" w:hAnsi="Times New Roman" w:cs="Times New Roman"/>
        </w:rPr>
        <w:t xml:space="preserve"> limitant le report des pertes à un certain pourcentage (entre 50 et 60 %) du bénéfice imposable, après déduction d’un montant de base d’1 million d’euros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 xml:space="preserve">prévoir une possibilité de </w:t>
      </w:r>
      <w:r w:rsidRPr="00D3494F">
        <w:rPr>
          <w:rStyle w:val="Policepardfaut1"/>
          <w:rFonts w:ascii="Times New Roman" w:hAnsi="Times New Roman" w:cs="Times New Roman"/>
          <w:b/>
          <w:bCs/>
        </w:rPr>
        <w:t>report en arrière</w:t>
      </w:r>
      <w:r w:rsidRPr="00D3494F">
        <w:rPr>
          <w:rStyle w:val="Policepardfaut1"/>
          <w:rFonts w:ascii="Times New Roman" w:hAnsi="Times New Roman" w:cs="Times New Roman"/>
        </w:rPr>
        <w:t xml:space="preserve"> d’une année jusqu’à concurrence d’1 million d’euros. </w:t>
      </w:r>
    </w:p>
    <w:p w:rsidR="00631D37" w:rsidRPr="00D3494F" w:rsidRDefault="00631D37">
      <w:pPr>
        <w:spacing w:after="120" w:line="288" w:lineRule="auto"/>
        <w:ind w:left="360"/>
        <w:jc w:val="both"/>
        <w:rPr>
          <w:rFonts w:ascii="Times New Roman" w:hAnsi="Times New Roman" w:cs="Times New Roman"/>
        </w:rPr>
      </w:pPr>
      <w:r w:rsidRPr="00D3494F">
        <w:rPr>
          <w:rStyle w:val="Policepardfaut1"/>
          <w:rFonts w:ascii="Times New Roman" w:hAnsi="Times New Roman" w:cs="Times New Roman"/>
        </w:rPr>
        <w:t xml:space="preserve">Elles soutiennent les dispositions relatives aux </w:t>
      </w:r>
      <w:r w:rsidRPr="00D3494F">
        <w:rPr>
          <w:rStyle w:val="Policepardfaut1"/>
          <w:rFonts w:ascii="Times New Roman" w:hAnsi="Times New Roman" w:cs="Times New Roman"/>
          <w:b/>
          <w:bCs/>
        </w:rPr>
        <w:t>rachats de sociétés écrans</w:t>
      </w:r>
      <w:r w:rsidRPr="00D3494F">
        <w:rPr>
          <w:rStyle w:val="Policepardfaut1"/>
          <w:rFonts w:ascii="Times New Roman" w:hAnsi="Times New Roman" w:cs="Times New Roman"/>
        </w:rPr>
        <w:t xml:space="preserve"> fondées sur un changement de propriété répondant aux critères et sur une modification d’un critère quantitatif (article 41 de la directive ACIS), même s’il est nécessaire d’étayer ces critères.</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La France et l’Allemagne sont favorables aux dispositions relatives aux </w:t>
      </w:r>
      <w:r w:rsidRPr="00D3494F">
        <w:rPr>
          <w:rStyle w:val="Policepardfaut1"/>
          <w:rFonts w:ascii="Times New Roman" w:hAnsi="Times New Roman" w:cs="Times New Roman"/>
          <w:b/>
          <w:bCs/>
        </w:rPr>
        <w:t>instruments de couverture</w:t>
      </w:r>
      <w:r w:rsidRPr="00D3494F">
        <w:rPr>
          <w:rStyle w:val="Policepardfaut1"/>
          <w:rFonts w:ascii="Times New Roman" w:hAnsi="Times New Roman" w:cs="Times New Roman"/>
        </w:rPr>
        <w:t xml:space="preserve"> (article 26 de la directive ACIS) et estiment qu’un reclassement injustifié doit être évité. Il convient de limiter les dispositions relatives aux instruments financiers détenus à des fins de transaction (article 21 de la directive ACIS) aux entreprises financières et de ne les appliquer à d’autres sociétés que dans certains cas (lorsqu’il s’agit d’OPCVM et d’instruments financiers à terme).</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Les deux pays sont d’avis qu’il est nécessaire de clarifier les </w:t>
      </w:r>
      <w:r w:rsidRPr="00D3494F">
        <w:rPr>
          <w:rStyle w:val="Policepardfaut1"/>
          <w:rFonts w:ascii="Times New Roman" w:hAnsi="Times New Roman" w:cs="Times New Roman"/>
          <w:b/>
          <w:bCs/>
        </w:rPr>
        <w:t xml:space="preserve">dispositions particulières relatives </w:t>
      </w:r>
      <w:r w:rsidRPr="00D3494F">
        <w:rPr>
          <w:rStyle w:val="Policepardfaut1"/>
          <w:rFonts w:ascii="Times New Roman" w:hAnsi="Times New Roman" w:cs="Times New Roman"/>
          <w:b/>
          <w:bCs/>
        </w:rPr>
        <w:lastRenderedPageBreak/>
        <w:t>aux entreprises d’assurance</w:t>
      </w:r>
      <w:r w:rsidRPr="00D3494F">
        <w:rPr>
          <w:rStyle w:val="Policepardfaut1"/>
          <w:rFonts w:ascii="Times New Roman" w:hAnsi="Times New Roman" w:cs="Times New Roman"/>
        </w:rPr>
        <w:t xml:space="preserve"> (article 28, paragraphes a), b) et c) de la directive ACIS) dans la mesure où la directive traite uniquement des entreprises d’assurance sur la vie. La France et l’Allemagne considèrent également que l’ensemble des provisions techniques prévues par la directive 91/674/CEE du Conseil devraient être déductibles. Les règles de calcul de ces provisions techniques déductibles devraient être déterminées par le droit national.</w:t>
      </w:r>
    </w:p>
    <w:p w:rsidR="00631D37" w:rsidRPr="00D3494F" w:rsidRDefault="00631D37">
      <w:pPr>
        <w:spacing w:after="120" w:line="288" w:lineRule="auto"/>
        <w:jc w:val="both"/>
        <w:rPr>
          <w:rFonts w:ascii="Times New Roman" w:hAnsi="Times New Roman" w:cs="Times New Roman"/>
          <w:b/>
          <w:bCs/>
          <w:smallCaps/>
        </w:rPr>
      </w:pPr>
      <w:r w:rsidRPr="00D3494F">
        <w:rPr>
          <w:rFonts w:ascii="Times New Roman" w:hAnsi="Times New Roman" w:cs="Times New Roman"/>
          <w:b/>
          <w:bCs/>
          <w:smallCaps/>
        </w:rPr>
        <w:t>III. Mesures de lutte contre l’érosion de la base d’imposition et le transfert de bénéfices (BEPS)</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La France et l’Allemagne soutiennent l’introduction de </w:t>
      </w:r>
      <w:r w:rsidRPr="00D3494F">
        <w:rPr>
          <w:rStyle w:val="Policepardfaut1"/>
          <w:rFonts w:ascii="Times New Roman" w:hAnsi="Times New Roman" w:cs="Times New Roman"/>
          <w:b/>
          <w:bCs/>
        </w:rPr>
        <w:t>mesures anti-BEPS</w:t>
      </w:r>
      <w:r w:rsidRPr="00D3494F">
        <w:rPr>
          <w:rStyle w:val="Policepardfaut1"/>
          <w:rFonts w:ascii="Times New Roman" w:hAnsi="Times New Roman" w:cs="Times New Roman"/>
        </w:rPr>
        <w:t xml:space="preserve"> sous réserve de certaines modifications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dans certains cas (</w:t>
      </w:r>
      <w:r w:rsidRPr="00D3494F">
        <w:rPr>
          <w:rStyle w:val="Policepardfaut1"/>
          <w:rFonts w:ascii="Times New Roman" w:hAnsi="Times New Roman" w:cs="Times New Roman"/>
          <w:b/>
          <w:bCs/>
        </w:rPr>
        <w:t>clause anti-abus générale, dispositifs hybrides, imposition à la sortie</w:t>
      </w:r>
      <w:r w:rsidRPr="00D3494F">
        <w:rPr>
          <w:rStyle w:val="Policepardfaut1"/>
          <w:rFonts w:ascii="Times New Roman" w:hAnsi="Times New Roman" w:cs="Times New Roman"/>
        </w:rPr>
        <w:t>), la directive ACIS devrait être plus cohérente avec la directive de lutte contre l’évasion fiscale (dite ATAD, pour</w:t>
      </w:r>
      <w:r w:rsidRPr="00D3494F">
        <w:rPr>
          <w:rStyle w:val="Policepardfaut1"/>
          <w:rFonts w:ascii="Times New Roman" w:hAnsi="Times New Roman" w:cs="Times New Roman"/>
          <w:i/>
          <w:iCs/>
        </w:rPr>
        <w:t xml:space="preserve"> Anti-Tax-Avoidance Directive</w:t>
      </w:r>
      <w:r w:rsidRPr="00D3494F">
        <w:rPr>
          <w:rStyle w:val="Policepardfaut1"/>
          <w:rFonts w:ascii="Times New Roman" w:hAnsi="Times New Roman" w:cs="Times New Roman"/>
        </w:rPr>
        <w:t>)</w:t>
      </w:r>
      <w:r w:rsidRPr="00D3494F">
        <w:rPr>
          <w:rStyle w:val="Appelnotedebasdep1"/>
          <w:lang w:val="en-GB"/>
        </w:rPr>
        <w:footnoteReference w:id="3"/>
      </w:r>
      <w:r w:rsidRPr="00D3494F">
        <w:rPr>
          <w:rStyle w:val="Policepardfaut1"/>
          <w:rFonts w:ascii="Times New Roman" w:hAnsi="Times New Roman" w:cs="Times New Roman"/>
        </w:rPr>
        <w:t xml:space="preserve"> qui comprend des dispositions similaires ;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 xml:space="preserve">concernant la </w:t>
      </w:r>
      <w:r w:rsidRPr="00D3494F">
        <w:rPr>
          <w:rStyle w:val="Policepardfaut1"/>
          <w:rFonts w:ascii="Times New Roman" w:hAnsi="Times New Roman" w:cs="Times New Roman"/>
          <w:b/>
          <w:bCs/>
        </w:rPr>
        <w:t>règle de limitation des intérêts</w:t>
      </w:r>
      <w:r w:rsidRPr="00D3494F">
        <w:rPr>
          <w:rStyle w:val="Policepardfaut1"/>
          <w:rFonts w:ascii="Times New Roman" w:hAnsi="Times New Roman" w:cs="Times New Roman"/>
        </w:rPr>
        <w:t xml:space="preserve"> (article 13 de la directive ACIS), la France et l’Allemagne sont favorables à l’inclusion, notamment, de la clause de sauvegarde « groupe », du report de capacités inemployées de déduction des intérêts (« report de l’EBITDA ») et d’une suppression des exemptions relatives aux projets d’infrastructures publiques à long terme et aux entreprises financières ; </w:t>
      </w:r>
    </w:p>
    <w:p w:rsidR="00631D37" w:rsidRPr="00D3494F" w:rsidRDefault="00631D37">
      <w:pPr>
        <w:numPr>
          <w:ilvl w:val="0"/>
          <w:numId w:val="1"/>
        </w:numPr>
        <w:spacing w:after="120" w:line="288" w:lineRule="auto"/>
        <w:jc w:val="both"/>
        <w:rPr>
          <w:rFonts w:ascii="Times New Roman" w:hAnsi="Times New Roman" w:cs="Times New Roman"/>
        </w:rPr>
      </w:pPr>
      <w:r w:rsidRPr="00D3494F">
        <w:rPr>
          <w:rStyle w:val="Policepardfaut1"/>
          <w:rFonts w:ascii="Times New Roman" w:hAnsi="Times New Roman" w:cs="Times New Roman"/>
        </w:rPr>
        <w:t xml:space="preserve">la France et l’Allemagne soutiennent la </w:t>
      </w:r>
      <w:r w:rsidRPr="00D3494F">
        <w:rPr>
          <w:rStyle w:val="Policepardfaut1"/>
          <w:rFonts w:ascii="Times New Roman" w:hAnsi="Times New Roman" w:cs="Times New Roman"/>
          <w:b/>
          <w:bCs/>
        </w:rPr>
        <w:t>règle du passage de l’exonération au crédit d’impôt dit « switch-over »</w:t>
      </w:r>
      <w:r w:rsidRPr="00D3494F">
        <w:rPr>
          <w:rStyle w:val="Policepardfaut1"/>
          <w:rFonts w:ascii="Times New Roman" w:hAnsi="Times New Roman" w:cs="Times New Roman"/>
        </w:rPr>
        <w:t xml:space="preserve"> (article 53 de la directive ACIS), sous réserve que le taux de référence soit un taux unique pour tous les États membres et que cette règle s’applique également aux revenus des entités installées dans l’Union européenne. </w:t>
      </w:r>
    </w:p>
    <w:p w:rsidR="00631D37" w:rsidRPr="00D3494F" w:rsidRDefault="00631D37">
      <w:pPr>
        <w:numPr>
          <w:ilvl w:val="0"/>
          <w:numId w:val="2"/>
        </w:numPr>
        <w:spacing w:after="120" w:line="288" w:lineRule="auto"/>
        <w:ind w:left="426" w:hanging="426"/>
        <w:jc w:val="both"/>
        <w:rPr>
          <w:rStyle w:val="Policepardfaut1"/>
          <w:rFonts w:ascii="Times New Roman" w:hAnsi="Times New Roman" w:cs="Times New Roman"/>
        </w:rPr>
      </w:pPr>
      <w:r w:rsidRPr="00D3494F">
        <w:rPr>
          <w:rStyle w:val="Policepardfaut1"/>
          <w:rFonts w:ascii="Times New Roman" w:hAnsi="Times New Roman" w:cs="Times New Roman"/>
        </w:rPr>
        <w:t>Concernant les prix de transfert (article 56 de la directive ACIS), les deux pays considèrent que, jusqu’à la mise en œuvre de la directive ACCIS, ce type de dispositions particulières devrait rester du ressort des États membres.</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Concernant les </w:t>
      </w:r>
      <w:r w:rsidRPr="00D3494F">
        <w:rPr>
          <w:rStyle w:val="Policepardfaut1"/>
          <w:rFonts w:ascii="Times New Roman" w:hAnsi="Times New Roman" w:cs="Times New Roman"/>
          <w:b/>
          <w:bCs/>
        </w:rPr>
        <w:t>sociétés étrangères</w:t>
      </w:r>
      <w:r w:rsidRPr="00D3494F">
        <w:rPr>
          <w:rStyle w:val="Policepardfaut1"/>
          <w:rFonts w:ascii="Times New Roman" w:hAnsi="Times New Roman" w:cs="Times New Roman"/>
        </w:rPr>
        <w:t xml:space="preserve"> </w:t>
      </w:r>
      <w:r w:rsidRPr="00D3494F">
        <w:rPr>
          <w:rFonts w:ascii="Times New Roman" w:hAnsi="Times New Roman" w:cs="Times New Roman"/>
          <w:b/>
          <w:bCs/>
        </w:rPr>
        <w:t>contrôlées</w:t>
      </w:r>
      <w:r w:rsidRPr="00D3494F">
        <w:rPr>
          <w:rStyle w:val="Policepardfaut1"/>
          <w:rFonts w:ascii="Times New Roman" w:hAnsi="Times New Roman" w:cs="Times New Roman"/>
          <w:b/>
          <w:bCs/>
        </w:rPr>
        <w:t xml:space="preserve"> </w:t>
      </w:r>
      <w:r w:rsidRPr="00D3494F">
        <w:rPr>
          <w:rStyle w:val="Policepardfaut1"/>
          <w:rFonts w:ascii="Times New Roman" w:hAnsi="Times New Roman" w:cs="Times New Roman"/>
        </w:rPr>
        <w:t>(SEC, article 59 de la directive ACIS), la France et l’Allemagne soutiennent à ce stade l’application d’une norme minimale, prévue par les dispositions de la directive ATAD sur les règles relatives aux sociétés étrangères contrôlées (SEC). Néanmoins, la France et l’Allemagne estiment que la disposition proposée dans le projet de directive ACIS n’est pas suffisante. Les deux pays défendent l’idée d’un niveau minimum d’imposition effective. C’est pourquoi il convient de concevoir un outil efficace visant à prévenir l’exploitation injustifiée des écarts de taux d’imposition. Dans ce cadre, les règles relatives aux SEC constituent un point de départ à de nouvelles réflexions en vue de cet objectif.</w:t>
      </w:r>
    </w:p>
    <w:p w:rsidR="00631D37" w:rsidRPr="00D3494F" w:rsidRDefault="00631D37">
      <w:pPr>
        <w:numPr>
          <w:ilvl w:val="0"/>
          <w:numId w:val="2"/>
        </w:numPr>
        <w:spacing w:after="120" w:line="288" w:lineRule="auto"/>
        <w:ind w:left="426" w:hanging="426"/>
        <w:jc w:val="both"/>
        <w:rPr>
          <w:rFonts w:ascii="Times New Roman" w:hAnsi="Times New Roman" w:cs="Times New Roman"/>
        </w:rPr>
      </w:pPr>
      <w:r w:rsidRPr="00D3494F">
        <w:rPr>
          <w:rStyle w:val="Policepardfaut1"/>
          <w:rFonts w:ascii="Times New Roman" w:hAnsi="Times New Roman" w:cs="Times New Roman"/>
        </w:rPr>
        <w:t xml:space="preserve">Pour sécuriser l’assiette d’imposition et créer une concurrence fiscale loyale, la France et l’Allemagne soutiennent l’introduction dans la directive ACIS d’une règle de limitation relative à la déduction des intérêts, redevances et autres rémunérations versées dans un pays à </w:t>
      </w:r>
      <w:r w:rsidRPr="00D3494F">
        <w:rPr>
          <w:rStyle w:val="Policepardfaut1"/>
          <w:rFonts w:ascii="Times New Roman" w:hAnsi="Times New Roman" w:cs="Times New Roman"/>
          <w:b/>
          <w:bCs/>
        </w:rPr>
        <w:t xml:space="preserve">fiscalité privilégiée </w:t>
      </w:r>
      <w:r w:rsidRPr="00D3494F">
        <w:rPr>
          <w:rStyle w:val="Policepardfaut1"/>
          <w:rFonts w:ascii="Times New Roman" w:hAnsi="Times New Roman" w:cs="Times New Roman"/>
        </w:rPr>
        <w:t>(c’est-à-dire doté d’un système fiscal aboutissant à un taux d’imposition en deçà d’un certain pourcentage).</w:t>
      </w:r>
    </w:p>
    <w:sectPr w:rsidR="00631D37" w:rsidRPr="00D3494F" w:rsidSect="00D3494F">
      <w:footerReference w:type="default" r:id="rId9"/>
      <w:footerReference w:type="first" r:id="rId10"/>
      <w:pgSz w:w="11906" w:h="16838"/>
      <w:pgMar w:top="1134" w:right="1133" w:bottom="1134" w:left="99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F72" w:rsidRDefault="006C5F72">
      <w:pPr>
        <w:rPr>
          <w:rFonts w:ascii="Mangal" w:hAnsi="Mangal" w:cs="Mangal" w:hint="eastAsia"/>
        </w:rPr>
      </w:pPr>
      <w:r>
        <w:rPr>
          <w:rFonts w:ascii="Mangal" w:hAnsi="Mangal" w:cs="Mangal"/>
        </w:rPr>
        <w:separator/>
      </w:r>
    </w:p>
  </w:endnote>
  <w:endnote w:type="continuationSeparator" w:id="0">
    <w:p w:rsidR="006C5F72" w:rsidRDefault="006C5F72">
      <w:pPr>
        <w:rPr>
          <w:rFonts w:ascii="Mangal" w:hAnsi="Mangal" w:cs="Mangal" w:hint="eastAsia"/>
        </w:rPr>
      </w:pPr>
      <w:r>
        <w:rPr>
          <w:rFonts w:ascii="Mangal" w:hAnsi="Mangal" w:cs="Mang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37" w:rsidRDefault="00631D37">
    <w:pPr>
      <w:pStyle w:val="Pieddepage"/>
      <w:jc w:val="center"/>
      <w:rPr>
        <w:rFonts w:ascii="Mangal" w:hAnsi="Mangal" w:cs="Mangal" w:hint="eastAsia"/>
        <w:sz w:val="16"/>
        <w:szCs w:val="16"/>
      </w:rPr>
    </w:pPr>
    <w:r>
      <w:rPr>
        <w:sz w:val="16"/>
        <w:szCs w:val="16"/>
      </w:rPr>
      <w:t xml:space="preserve">Page </w:t>
    </w:r>
    <w:r w:rsidR="005B7A0E">
      <w:rPr>
        <w:b/>
        <w:bCs/>
        <w:sz w:val="16"/>
        <w:szCs w:val="16"/>
      </w:rPr>
      <w:fldChar w:fldCharType="begin"/>
    </w:r>
    <w:r>
      <w:rPr>
        <w:b/>
        <w:bCs/>
        <w:sz w:val="16"/>
        <w:szCs w:val="16"/>
      </w:rPr>
      <w:instrText>PAGE</w:instrText>
    </w:r>
    <w:r w:rsidR="005B7A0E">
      <w:rPr>
        <w:b/>
        <w:bCs/>
        <w:sz w:val="16"/>
        <w:szCs w:val="16"/>
      </w:rPr>
      <w:fldChar w:fldCharType="separate"/>
    </w:r>
    <w:r w:rsidR="00D4004B">
      <w:rPr>
        <w:b/>
        <w:bCs/>
        <w:noProof/>
        <w:sz w:val="16"/>
        <w:szCs w:val="16"/>
      </w:rPr>
      <w:t>4</w:t>
    </w:r>
    <w:r w:rsidR="005B7A0E">
      <w:rPr>
        <w:b/>
        <w:bCs/>
        <w:sz w:val="16"/>
        <w:szCs w:val="16"/>
      </w:rPr>
      <w:fldChar w:fldCharType="end"/>
    </w:r>
    <w:r>
      <w:rPr>
        <w:sz w:val="16"/>
        <w:szCs w:val="16"/>
      </w:rPr>
      <w:t>/</w:t>
    </w:r>
    <w:r w:rsidR="005B7A0E">
      <w:rPr>
        <w:b/>
        <w:bCs/>
        <w:sz w:val="16"/>
        <w:szCs w:val="16"/>
      </w:rPr>
      <w:fldChar w:fldCharType="begin"/>
    </w:r>
    <w:r>
      <w:rPr>
        <w:b/>
        <w:bCs/>
        <w:sz w:val="16"/>
        <w:szCs w:val="16"/>
      </w:rPr>
      <w:instrText>NUMPAGES</w:instrText>
    </w:r>
    <w:r w:rsidR="005B7A0E">
      <w:rPr>
        <w:b/>
        <w:bCs/>
        <w:sz w:val="16"/>
        <w:szCs w:val="16"/>
      </w:rPr>
      <w:fldChar w:fldCharType="separate"/>
    </w:r>
    <w:r w:rsidR="00D4004B">
      <w:rPr>
        <w:b/>
        <w:bCs/>
        <w:noProof/>
        <w:sz w:val="16"/>
        <w:szCs w:val="16"/>
      </w:rPr>
      <w:t>4</w:t>
    </w:r>
    <w:r w:rsidR="005B7A0E">
      <w:rPr>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37" w:rsidRDefault="00631D37">
    <w:pPr>
      <w:pStyle w:val="Pieddepage"/>
      <w:jc w:val="center"/>
      <w:rPr>
        <w:rFonts w:ascii="Mangal" w:hAnsi="Mangal" w:cs="Mangal" w:hint="eastAsia"/>
      </w:rPr>
    </w:pPr>
    <w:r>
      <w:rPr>
        <w:i/>
        <w:iCs/>
        <w:sz w:val="16"/>
        <w:szCs w:val="16"/>
      </w:rPr>
      <w:t>Centre de traduction</w:t>
    </w:r>
    <w:r>
      <w:t xml:space="preserve"> </w:t>
    </w:r>
    <w:r>
      <w:rPr>
        <w:i/>
        <w:iCs/>
        <w:sz w:val="16"/>
        <w:szCs w:val="16"/>
      </w:rPr>
      <w:t>des ministères économiques et financiers</w:t>
    </w:r>
    <w:r>
      <w:rPr>
        <w:rFonts w:ascii="Mangal" w:hAnsi="Mangal" w:cs="Mangal"/>
        <w:color w:val="1F497D"/>
      </w:rPr>
      <w:t> </w:t>
    </w:r>
    <w:r>
      <w:rPr>
        <w:i/>
        <w:iCs/>
        <w:sz w:val="16"/>
        <w:szCs w:val="16"/>
      </w:rPr>
      <w:t xml:space="preserve"> – Dossier n° 0767a</w:t>
    </w:r>
    <w:r>
      <w:rPr>
        <w:rFonts w:ascii="Mangal" w:hAnsi="Mangal" w:cs="Mangal"/>
        <w:i/>
        <w:iCs/>
        <w:sz w:val="16"/>
        <w:szCs w:val="16"/>
      </w:rPr>
      <w:t>-</w:t>
    </w:r>
    <w:r>
      <w:rPr>
        <w:i/>
        <w:iCs/>
        <w:sz w:val="16"/>
        <w:szCs w:val="16"/>
      </w:rPr>
      <w:t xml:space="preserve">18 du </w:t>
    </w:r>
    <w:r w:rsidR="005B7A0E">
      <w:rPr>
        <w:i/>
        <w:iCs/>
        <w:sz w:val="16"/>
        <w:szCs w:val="16"/>
      </w:rPr>
      <w:fldChar w:fldCharType="begin"/>
    </w:r>
    <w:r>
      <w:rPr>
        <w:i/>
        <w:iCs/>
        <w:sz w:val="16"/>
        <w:szCs w:val="16"/>
      </w:rPr>
      <w:instrText xml:space="preserve"> TIME \@ "dd/MM/yyyy" </w:instrText>
    </w:r>
    <w:r w:rsidR="005B7A0E">
      <w:rPr>
        <w:i/>
        <w:iCs/>
        <w:sz w:val="16"/>
        <w:szCs w:val="16"/>
      </w:rPr>
      <w:fldChar w:fldCharType="separate"/>
    </w:r>
    <w:r w:rsidR="00D4004B">
      <w:rPr>
        <w:i/>
        <w:iCs/>
        <w:noProof/>
        <w:sz w:val="16"/>
        <w:szCs w:val="16"/>
      </w:rPr>
      <w:t>20/06/2018</w:t>
    </w:r>
    <w:r w:rsidR="005B7A0E">
      <w:rPr>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F72" w:rsidRDefault="006C5F72">
      <w:pPr>
        <w:rPr>
          <w:rFonts w:ascii="Mangal" w:hAnsi="Mangal" w:cs="Mangal" w:hint="eastAsia"/>
        </w:rPr>
      </w:pPr>
      <w:r>
        <w:rPr>
          <w:rFonts w:ascii="Mangal" w:hAnsi="Mangal" w:cs="Mangal"/>
          <w:color w:val="000000"/>
        </w:rPr>
        <w:separator/>
      </w:r>
    </w:p>
  </w:footnote>
  <w:footnote w:type="continuationSeparator" w:id="0">
    <w:p w:rsidR="006C5F72" w:rsidRDefault="006C5F72">
      <w:pPr>
        <w:rPr>
          <w:rFonts w:ascii="Mangal" w:hAnsi="Mangal" w:cs="Mangal" w:hint="eastAsia"/>
        </w:rPr>
      </w:pPr>
      <w:r>
        <w:rPr>
          <w:rFonts w:ascii="Mangal" w:hAnsi="Mangal" w:cs="Mangal"/>
        </w:rPr>
        <w:continuationSeparator/>
      </w:r>
    </w:p>
  </w:footnote>
  <w:footnote w:id="1">
    <w:p w:rsidR="00631D37" w:rsidRDefault="00631D37">
      <w:pPr>
        <w:pStyle w:val="Notedebasdepage1"/>
        <w:jc w:val="both"/>
        <w:rPr>
          <w:rFonts w:cstheme="minorBidi"/>
        </w:rPr>
      </w:pPr>
      <w:r>
        <w:rPr>
          <w:rStyle w:val="Appelnotedebasdep"/>
          <w:rFonts w:ascii="Liberation Serif" w:hAnsi="Liberation Serif" w:cstheme="minorBidi"/>
        </w:rPr>
        <w:footnoteRef/>
      </w:r>
      <w:r>
        <w:rPr>
          <w:rStyle w:val="Policepardfaut1"/>
        </w:rPr>
        <w:t xml:space="preserve"> </w:t>
      </w:r>
      <w:r>
        <w:t xml:space="preserve">Proposition de directive du Conseil concernant une assiette commune pour l’impôt sur les sociétés </w:t>
      </w:r>
      <w:r>
        <w:rPr>
          <w:rStyle w:val="Policepardfaut1"/>
        </w:rPr>
        <w:t>(COM/2016/0685 final).</w:t>
      </w:r>
    </w:p>
  </w:footnote>
  <w:footnote w:id="2">
    <w:p w:rsidR="00631D37" w:rsidRDefault="00631D37">
      <w:pPr>
        <w:pStyle w:val="Notedebasdepage1"/>
        <w:jc w:val="both"/>
        <w:rPr>
          <w:rFonts w:cstheme="minorBidi"/>
        </w:rPr>
      </w:pPr>
      <w:r>
        <w:rPr>
          <w:rStyle w:val="Appelnotedebasdep"/>
          <w:rFonts w:ascii="Liberation Serif" w:hAnsi="Liberation Serif" w:cstheme="minorBidi"/>
        </w:rPr>
        <w:footnoteRef/>
      </w:r>
      <w:r>
        <w:rPr>
          <w:rStyle w:val="Policepardfaut1"/>
        </w:rPr>
        <w:t xml:space="preserve"> </w:t>
      </w:r>
      <w:r>
        <w:rPr>
          <w:rStyle w:val="lev"/>
          <w:rFonts w:ascii="Liberation Serif" w:hAnsi="Liberation Serif" w:cs="Liberation Serif"/>
          <w:b w:val="0"/>
          <w:bCs w:val="0"/>
        </w:rPr>
        <w:t xml:space="preserve">Proposition de directive du Conseil concernant une assiette commune consolidée pour l’impôt sur les sociétés </w:t>
      </w:r>
      <w:r>
        <w:rPr>
          <w:rStyle w:val="Policepardfaut1"/>
        </w:rPr>
        <w:t>(COM/2016/0683 final).</w:t>
      </w:r>
    </w:p>
  </w:footnote>
  <w:footnote w:id="3">
    <w:p w:rsidR="00631D37" w:rsidRDefault="00631D37">
      <w:pPr>
        <w:pStyle w:val="Notedebasdepage1"/>
        <w:rPr>
          <w:rFonts w:cstheme="minorBidi"/>
        </w:rPr>
      </w:pPr>
      <w:r>
        <w:rPr>
          <w:rStyle w:val="Appelnotedebasdep"/>
          <w:rFonts w:ascii="Mangal" w:hAnsi="Mangal" w:cs="Mangal"/>
        </w:rPr>
        <w:footnoteRef/>
      </w:r>
      <w:r>
        <w:rPr>
          <w:rStyle w:val="Policepardfaut1"/>
        </w:rPr>
        <w:t xml:space="preserve"> Directive (UE) 2016/1164 du Conseil, telle que modifiée par la directive (UE) 2017/952 du Conseil</w:t>
      </w:r>
      <w:r>
        <w:rPr>
          <w:rStyle w:val="Policepardfaut1"/>
          <w:rFonts w:ascii="Mangal" w:hAnsi="Mangal" w:cs="Mang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11F1"/>
    <w:multiLevelType w:val="multilevel"/>
    <w:tmpl w:val="18D4D57A"/>
    <w:lvl w:ilvl="0">
      <w:numFmt w:val="bullet"/>
      <w:lvlText w:val="-"/>
      <w:lvlJc w:val="left"/>
      <w:pPr>
        <w:ind w:left="720" w:hanging="360"/>
      </w:pPr>
      <w:rPr>
        <w:rFonts w:ascii="Times New Roman" w:eastAsia="SimSu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3B1F6265"/>
    <w:multiLevelType w:val="multilevel"/>
    <w:tmpl w:val="5A8E82DC"/>
    <w:lvl w:ilvl="0">
      <w:start w:val="1"/>
      <w:numFmt w:val="decimal"/>
      <w:lvlText w:val="%1."/>
      <w:lvlJc w:val="left"/>
      <w:pPr>
        <w:ind w:left="720" w:hanging="360"/>
      </w:pPr>
      <w:rPr>
        <w:rFonts w:ascii="Liberation Serif" w:hAnsi="Liberation Serif" w:cs="Liberation Serif"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defaultTabStop w:val="709"/>
  <w:autoHyphenation/>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37"/>
    <w:rsid w:val="000C06B0"/>
    <w:rsid w:val="001172FB"/>
    <w:rsid w:val="001631A5"/>
    <w:rsid w:val="0025523C"/>
    <w:rsid w:val="0029778D"/>
    <w:rsid w:val="00393487"/>
    <w:rsid w:val="003B3634"/>
    <w:rsid w:val="00401CDC"/>
    <w:rsid w:val="00420895"/>
    <w:rsid w:val="005342AE"/>
    <w:rsid w:val="00536255"/>
    <w:rsid w:val="005B7A0E"/>
    <w:rsid w:val="00631D37"/>
    <w:rsid w:val="006C5F72"/>
    <w:rsid w:val="00785870"/>
    <w:rsid w:val="008C05C5"/>
    <w:rsid w:val="008D265D"/>
    <w:rsid w:val="009B7E3E"/>
    <w:rsid w:val="009D76BD"/>
    <w:rsid w:val="00D3494F"/>
    <w:rsid w:val="00D4004B"/>
    <w:rsid w:val="00DB1D0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0E"/>
    <w:pPr>
      <w:widowControl w:val="0"/>
      <w:suppressAutoHyphens/>
      <w:autoSpaceDN w:val="0"/>
      <w:textAlignment w:val="baseline"/>
    </w:pPr>
    <w:rPr>
      <w:rFonts w:ascii="Liberation Serif" w:eastAsia="SimSun" w:hAnsi="Liberation Serif" w:cs="Liberation Serif"/>
      <w:kern w:val="3"/>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uiPriority w:val="99"/>
    <w:rsid w:val="005B7A0E"/>
  </w:style>
  <w:style w:type="paragraph" w:customStyle="1" w:styleId="Heading">
    <w:name w:val="Heading"/>
    <w:basedOn w:val="Normal"/>
    <w:next w:val="Textbody"/>
    <w:uiPriority w:val="99"/>
    <w:rsid w:val="005B7A0E"/>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uiPriority w:val="99"/>
    <w:rsid w:val="005B7A0E"/>
    <w:pPr>
      <w:spacing w:after="140" w:line="288" w:lineRule="auto"/>
    </w:pPr>
  </w:style>
  <w:style w:type="paragraph" w:styleId="Liste">
    <w:name w:val="List"/>
    <w:basedOn w:val="Textbody"/>
    <w:uiPriority w:val="99"/>
    <w:rsid w:val="005B7A0E"/>
  </w:style>
  <w:style w:type="paragraph" w:customStyle="1" w:styleId="Lgende1">
    <w:name w:val="Légende1"/>
    <w:basedOn w:val="Normal"/>
    <w:uiPriority w:val="99"/>
    <w:rsid w:val="005B7A0E"/>
    <w:pPr>
      <w:suppressLineNumbers/>
      <w:spacing w:before="120" w:after="120"/>
    </w:pPr>
    <w:rPr>
      <w:i/>
      <w:iCs/>
    </w:rPr>
  </w:style>
  <w:style w:type="paragraph" w:customStyle="1" w:styleId="Index">
    <w:name w:val="Index"/>
    <w:basedOn w:val="Normal"/>
    <w:uiPriority w:val="99"/>
    <w:rsid w:val="005B7A0E"/>
    <w:pPr>
      <w:suppressLineNumbers/>
    </w:pPr>
  </w:style>
  <w:style w:type="character" w:customStyle="1" w:styleId="NumberingSymbols">
    <w:name w:val="Numbering Symbols"/>
    <w:uiPriority w:val="99"/>
    <w:rsid w:val="005B7A0E"/>
  </w:style>
  <w:style w:type="paragraph" w:customStyle="1" w:styleId="Textedebulles1">
    <w:name w:val="Texte de bulles1"/>
    <w:basedOn w:val="Normal"/>
    <w:uiPriority w:val="99"/>
    <w:rsid w:val="005B7A0E"/>
    <w:rPr>
      <w:rFonts w:ascii="Segoe UI" w:hAnsi="Segoe UI" w:cs="Segoe UI"/>
      <w:sz w:val="18"/>
      <w:szCs w:val="18"/>
    </w:rPr>
  </w:style>
  <w:style w:type="character" w:customStyle="1" w:styleId="TextedebullesCar">
    <w:name w:val="Texte de bulles Car"/>
    <w:basedOn w:val="Policepardfaut1"/>
    <w:uiPriority w:val="99"/>
    <w:rsid w:val="005B7A0E"/>
    <w:rPr>
      <w:rFonts w:ascii="Segoe UI" w:hAnsi="Segoe UI" w:cs="Segoe UI"/>
      <w:sz w:val="16"/>
      <w:szCs w:val="16"/>
    </w:rPr>
  </w:style>
  <w:style w:type="paragraph" w:customStyle="1" w:styleId="Notedebasdepage1">
    <w:name w:val="Note de bas de page1"/>
    <w:basedOn w:val="Normal"/>
    <w:uiPriority w:val="99"/>
    <w:rsid w:val="005B7A0E"/>
    <w:rPr>
      <w:sz w:val="20"/>
      <w:szCs w:val="20"/>
    </w:rPr>
  </w:style>
  <w:style w:type="character" w:customStyle="1" w:styleId="NotedebasdepageCar">
    <w:name w:val="Note de bas de page Car"/>
    <w:basedOn w:val="Policepardfaut1"/>
    <w:uiPriority w:val="99"/>
    <w:rsid w:val="005B7A0E"/>
    <w:rPr>
      <w:rFonts w:ascii="Times New Roman" w:hAnsi="Times New Roman" w:cs="Times New Roman"/>
      <w:sz w:val="18"/>
      <w:szCs w:val="18"/>
    </w:rPr>
  </w:style>
  <w:style w:type="character" w:customStyle="1" w:styleId="Appelnotedebasdep1">
    <w:name w:val="Appel note de bas de p.1"/>
    <w:basedOn w:val="Policepardfaut1"/>
    <w:uiPriority w:val="99"/>
    <w:rsid w:val="005B7A0E"/>
    <w:rPr>
      <w:rFonts w:ascii="Times New Roman" w:hAnsi="Times New Roman" w:cs="Times New Roman"/>
      <w:position w:val="0"/>
      <w:vertAlign w:val="superscript"/>
    </w:rPr>
  </w:style>
  <w:style w:type="paragraph" w:styleId="Textedebulles">
    <w:name w:val="Balloon Text"/>
    <w:basedOn w:val="Normal"/>
    <w:link w:val="TextedebullesCar1"/>
    <w:uiPriority w:val="99"/>
    <w:rsid w:val="005B7A0E"/>
    <w:rPr>
      <w:rFonts w:ascii="Tahoma" w:hAnsi="Tahoma" w:cs="Tahoma"/>
      <w:sz w:val="16"/>
      <w:szCs w:val="16"/>
    </w:rPr>
  </w:style>
  <w:style w:type="character" w:customStyle="1" w:styleId="TextedebullesCar1">
    <w:name w:val="Texte de bulles Car1"/>
    <w:basedOn w:val="Policepardfaut"/>
    <w:link w:val="Textedebulles"/>
    <w:uiPriority w:val="99"/>
    <w:rsid w:val="005B7A0E"/>
    <w:rPr>
      <w:rFonts w:ascii="Tahoma" w:hAnsi="Tahoma" w:cs="Tahoma"/>
      <w:sz w:val="14"/>
      <w:szCs w:val="14"/>
    </w:rPr>
  </w:style>
  <w:style w:type="character" w:styleId="Appelnotedebasdep">
    <w:name w:val="footnote reference"/>
    <w:basedOn w:val="Policepardfaut"/>
    <w:uiPriority w:val="99"/>
    <w:rsid w:val="005B7A0E"/>
    <w:rPr>
      <w:rFonts w:ascii="Times New Roman" w:hAnsi="Times New Roman" w:cs="Times New Roman"/>
      <w:vertAlign w:val="superscript"/>
    </w:rPr>
  </w:style>
  <w:style w:type="character" w:styleId="Marquedecommentaire">
    <w:name w:val="annotation reference"/>
    <w:basedOn w:val="Policepardfaut"/>
    <w:uiPriority w:val="99"/>
    <w:rsid w:val="005B7A0E"/>
    <w:rPr>
      <w:rFonts w:ascii="Times New Roman" w:hAnsi="Times New Roman" w:cs="Times New Roman"/>
      <w:sz w:val="16"/>
      <w:szCs w:val="16"/>
    </w:rPr>
  </w:style>
  <w:style w:type="paragraph" w:styleId="Commentaire">
    <w:name w:val="annotation text"/>
    <w:basedOn w:val="Normal"/>
    <w:link w:val="CommentaireCar"/>
    <w:uiPriority w:val="99"/>
    <w:rsid w:val="005B7A0E"/>
    <w:rPr>
      <w:sz w:val="20"/>
      <w:szCs w:val="20"/>
    </w:rPr>
  </w:style>
  <w:style w:type="character" w:customStyle="1" w:styleId="CommentaireCar">
    <w:name w:val="Commentaire Car"/>
    <w:basedOn w:val="Policepardfaut"/>
    <w:link w:val="Commentaire"/>
    <w:uiPriority w:val="99"/>
    <w:rsid w:val="005B7A0E"/>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rsid w:val="005B7A0E"/>
    <w:rPr>
      <w:b/>
      <w:bCs/>
    </w:rPr>
  </w:style>
  <w:style w:type="character" w:customStyle="1" w:styleId="ObjetducommentaireCar">
    <w:name w:val="Objet du commentaire Car"/>
    <w:basedOn w:val="CommentaireCar"/>
    <w:link w:val="Objetducommentaire"/>
    <w:uiPriority w:val="99"/>
    <w:rsid w:val="005B7A0E"/>
    <w:rPr>
      <w:rFonts w:ascii="Times New Roman" w:hAnsi="Times New Roman" w:cs="Times New Roman"/>
      <w:b/>
      <w:bCs/>
      <w:sz w:val="18"/>
      <w:szCs w:val="18"/>
    </w:rPr>
  </w:style>
  <w:style w:type="character" w:styleId="Lienhypertexte">
    <w:name w:val="Hyperlink"/>
    <w:basedOn w:val="Policepardfaut"/>
    <w:uiPriority w:val="99"/>
    <w:rsid w:val="005B7A0E"/>
    <w:rPr>
      <w:rFonts w:ascii="Times New Roman" w:hAnsi="Times New Roman" w:cs="Times New Roman"/>
      <w:color w:val="0000FF"/>
      <w:u w:val="single"/>
    </w:rPr>
  </w:style>
  <w:style w:type="character" w:styleId="lev">
    <w:name w:val="Strong"/>
    <w:basedOn w:val="Policepardfaut"/>
    <w:uiPriority w:val="99"/>
    <w:qFormat/>
    <w:rsid w:val="005B7A0E"/>
    <w:rPr>
      <w:rFonts w:ascii="Times New Roman" w:hAnsi="Times New Roman" w:cs="Times New Roman"/>
      <w:b/>
      <w:bCs/>
    </w:rPr>
  </w:style>
  <w:style w:type="paragraph" w:styleId="En-tte">
    <w:name w:val="header"/>
    <w:basedOn w:val="Normal"/>
    <w:link w:val="En-tteCar"/>
    <w:uiPriority w:val="99"/>
    <w:rsid w:val="005B7A0E"/>
    <w:pPr>
      <w:tabs>
        <w:tab w:val="center" w:pos="4536"/>
        <w:tab w:val="right" w:pos="9072"/>
      </w:tabs>
    </w:pPr>
  </w:style>
  <w:style w:type="character" w:customStyle="1" w:styleId="En-tteCar">
    <w:name w:val="En-tête Car"/>
    <w:basedOn w:val="Policepardfaut"/>
    <w:link w:val="En-tte"/>
    <w:uiPriority w:val="99"/>
    <w:rsid w:val="005B7A0E"/>
    <w:rPr>
      <w:rFonts w:ascii="Times New Roman" w:hAnsi="Times New Roman" w:cs="Times New Roman"/>
      <w:sz w:val="21"/>
      <w:szCs w:val="21"/>
    </w:rPr>
  </w:style>
  <w:style w:type="paragraph" w:styleId="Pieddepage">
    <w:name w:val="footer"/>
    <w:basedOn w:val="Normal"/>
    <w:link w:val="PieddepageCar"/>
    <w:uiPriority w:val="99"/>
    <w:rsid w:val="005B7A0E"/>
    <w:pPr>
      <w:tabs>
        <w:tab w:val="center" w:pos="4536"/>
        <w:tab w:val="right" w:pos="9072"/>
      </w:tabs>
    </w:pPr>
  </w:style>
  <w:style w:type="character" w:customStyle="1" w:styleId="PieddepageCar">
    <w:name w:val="Pied de page Car"/>
    <w:basedOn w:val="Policepardfaut"/>
    <w:link w:val="Pieddepage"/>
    <w:uiPriority w:val="99"/>
    <w:rsid w:val="005B7A0E"/>
    <w:rPr>
      <w:rFonts w:ascii="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0E"/>
    <w:pPr>
      <w:widowControl w:val="0"/>
      <w:suppressAutoHyphens/>
      <w:autoSpaceDN w:val="0"/>
      <w:textAlignment w:val="baseline"/>
    </w:pPr>
    <w:rPr>
      <w:rFonts w:ascii="Liberation Serif" w:eastAsia="SimSun" w:hAnsi="Liberation Serif" w:cs="Liberation Serif"/>
      <w:kern w:val="3"/>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uiPriority w:val="99"/>
    <w:rsid w:val="005B7A0E"/>
  </w:style>
  <w:style w:type="paragraph" w:customStyle="1" w:styleId="Heading">
    <w:name w:val="Heading"/>
    <w:basedOn w:val="Normal"/>
    <w:next w:val="Textbody"/>
    <w:uiPriority w:val="99"/>
    <w:rsid w:val="005B7A0E"/>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uiPriority w:val="99"/>
    <w:rsid w:val="005B7A0E"/>
    <w:pPr>
      <w:spacing w:after="140" w:line="288" w:lineRule="auto"/>
    </w:pPr>
  </w:style>
  <w:style w:type="paragraph" w:styleId="Liste">
    <w:name w:val="List"/>
    <w:basedOn w:val="Textbody"/>
    <w:uiPriority w:val="99"/>
    <w:rsid w:val="005B7A0E"/>
  </w:style>
  <w:style w:type="paragraph" w:customStyle="1" w:styleId="Lgende1">
    <w:name w:val="Légende1"/>
    <w:basedOn w:val="Normal"/>
    <w:uiPriority w:val="99"/>
    <w:rsid w:val="005B7A0E"/>
    <w:pPr>
      <w:suppressLineNumbers/>
      <w:spacing w:before="120" w:after="120"/>
    </w:pPr>
    <w:rPr>
      <w:i/>
      <w:iCs/>
    </w:rPr>
  </w:style>
  <w:style w:type="paragraph" w:customStyle="1" w:styleId="Index">
    <w:name w:val="Index"/>
    <w:basedOn w:val="Normal"/>
    <w:uiPriority w:val="99"/>
    <w:rsid w:val="005B7A0E"/>
    <w:pPr>
      <w:suppressLineNumbers/>
    </w:pPr>
  </w:style>
  <w:style w:type="character" w:customStyle="1" w:styleId="NumberingSymbols">
    <w:name w:val="Numbering Symbols"/>
    <w:uiPriority w:val="99"/>
    <w:rsid w:val="005B7A0E"/>
  </w:style>
  <w:style w:type="paragraph" w:customStyle="1" w:styleId="Textedebulles1">
    <w:name w:val="Texte de bulles1"/>
    <w:basedOn w:val="Normal"/>
    <w:uiPriority w:val="99"/>
    <w:rsid w:val="005B7A0E"/>
    <w:rPr>
      <w:rFonts w:ascii="Segoe UI" w:hAnsi="Segoe UI" w:cs="Segoe UI"/>
      <w:sz w:val="18"/>
      <w:szCs w:val="18"/>
    </w:rPr>
  </w:style>
  <w:style w:type="character" w:customStyle="1" w:styleId="TextedebullesCar">
    <w:name w:val="Texte de bulles Car"/>
    <w:basedOn w:val="Policepardfaut1"/>
    <w:uiPriority w:val="99"/>
    <w:rsid w:val="005B7A0E"/>
    <w:rPr>
      <w:rFonts w:ascii="Segoe UI" w:hAnsi="Segoe UI" w:cs="Segoe UI"/>
      <w:sz w:val="16"/>
      <w:szCs w:val="16"/>
    </w:rPr>
  </w:style>
  <w:style w:type="paragraph" w:customStyle="1" w:styleId="Notedebasdepage1">
    <w:name w:val="Note de bas de page1"/>
    <w:basedOn w:val="Normal"/>
    <w:uiPriority w:val="99"/>
    <w:rsid w:val="005B7A0E"/>
    <w:rPr>
      <w:sz w:val="20"/>
      <w:szCs w:val="20"/>
    </w:rPr>
  </w:style>
  <w:style w:type="character" w:customStyle="1" w:styleId="NotedebasdepageCar">
    <w:name w:val="Note de bas de page Car"/>
    <w:basedOn w:val="Policepardfaut1"/>
    <w:uiPriority w:val="99"/>
    <w:rsid w:val="005B7A0E"/>
    <w:rPr>
      <w:rFonts w:ascii="Times New Roman" w:hAnsi="Times New Roman" w:cs="Times New Roman"/>
      <w:sz w:val="18"/>
      <w:szCs w:val="18"/>
    </w:rPr>
  </w:style>
  <w:style w:type="character" w:customStyle="1" w:styleId="Appelnotedebasdep1">
    <w:name w:val="Appel note de bas de p.1"/>
    <w:basedOn w:val="Policepardfaut1"/>
    <w:uiPriority w:val="99"/>
    <w:rsid w:val="005B7A0E"/>
    <w:rPr>
      <w:rFonts w:ascii="Times New Roman" w:hAnsi="Times New Roman" w:cs="Times New Roman"/>
      <w:position w:val="0"/>
      <w:vertAlign w:val="superscript"/>
    </w:rPr>
  </w:style>
  <w:style w:type="paragraph" w:styleId="Textedebulles">
    <w:name w:val="Balloon Text"/>
    <w:basedOn w:val="Normal"/>
    <w:link w:val="TextedebullesCar1"/>
    <w:uiPriority w:val="99"/>
    <w:rsid w:val="005B7A0E"/>
    <w:rPr>
      <w:rFonts w:ascii="Tahoma" w:hAnsi="Tahoma" w:cs="Tahoma"/>
      <w:sz w:val="16"/>
      <w:szCs w:val="16"/>
    </w:rPr>
  </w:style>
  <w:style w:type="character" w:customStyle="1" w:styleId="TextedebullesCar1">
    <w:name w:val="Texte de bulles Car1"/>
    <w:basedOn w:val="Policepardfaut"/>
    <w:link w:val="Textedebulles"/>
    <w:uiPriority w:val="99"/>
    <w:rsid w:val="005B7A0E"/>
    <w:rPr>
      <w:rFonts w:ascii="Tahoma" w:hAnsi="Tahoma" w:cs="Tahoma"/>
      <w:sz w:val="14"/>
      <w:szCs w:val="14"/>
    </w:rPr>
  </w:style>
  <w:style w:type="character" w:styleId="Appelnotedebasdep">
    <w:name w:val="footnote reference"/>
    <w:basedOn w:val="Policepardfaut"/>
    <w:uiPriority w:val="99"/>
    <w:rsid w:val="005B7A0E"/>
    <w:rPr>
      <w:rFonts w:ascii="Times New Roman" w:hAnsi="Times New Roman" w:cs="Times New Roman"/>
      <w:vertAlign w:val="superscript"/>
    </w:rPr>
  </w:style>
  <w:style w:type="character" w:styleId="Marquedecommentaire">
    <w:name w:val="annotation reference"/>
    <w:basedOn w:val="Policepardfaut"/>
    <w:uiPriority w:val="99"/>
    <w:rsid w:val="005B7A0E"/>
    <w:rPr>
      <w:rFonts w:ascii="Times New Roman" w:hAnsi="Times New Roman" w:cs="Times New Roman"/>
      <w:sz w:val="16"/>
      <w:szCs w:val="16"/>
    </w:rPr>
  </w:style>
  <w:style w:type="paragraph" w:styleId="Commentaire">
    <w:name w:val="annotation text"/>
    <w:basedOn w:val="Normal"/>
    <w:link w:val="CommentaireCar"/>
    <w:uiPriority w:val="99"/>
    <w:rsid w:val="005B7A0E"/>
    <w:rPr>
      <w:sz w:val="20"/>
      <w:szCs w:val="20"/>
    </w:rPr>
  </w:style>
  <w:style w:type="character" w:customStyle="1" w:styleId="CommentaireCar">
    <w:name w:val="Commentaire Car"/>
    <w:basedOn w:val="Policepardfaut"/>
    <w:link w:val="Commentaire"/>
    <w:uiPriority w:val="99"/>
    <w:rsid w:val="005B7A0E"/>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rsid w:val="005B7A0E"/>
    <w:rPr>
      <w:b/>
      <w:bCs/>
    </w:rPr>
  </w:style>
  <w:style w:type="character" w:customStyle="1" w:styleId="ObjetducommentaireCar">
    <w:name w:val="Objet du commentaire Car"/>
    <w:basedOn w:val="CommentaireCar"/>
    <w:link w:val="Objetducommentaire"/>
    <w:uiPriority w:val="99"/>
    <w:rsid w:val="005B7A0E"/>
    <w:rPr>
      <w:rFonts w:ascii="Times New Roman" w:hAnsi="Times New Roman" w:cs="Times New Roman"/>
      <w:b/>
      <w:bCs/>
      <w:sz w:val="18"/>
      <w:szCs w:val="18"/>
    </w:rPr>
  </w:style>
  <w:style w:type="character" w:styleId="Lienhypertexte">
    <w:name w:val="Hyperlink"/>
    <w:basedOn w:val="Policepardfaut"/>
    <w:uiPriority w:val="99"/>
    <w:rsid w:val="005B7A0E"/>
    <w:rPr>
      <w:rFonts w:ascii="Times New Roman" w:hAnsi="Times New Roman" w:cs="Times New Roman"/>
      <w:color w:val="0000FF"/>
      <w:u w:val="single"/>
    </w:rPr>
  </w:style>
  <w:style w:type="character" w:styleId="lev">
    <w:name w:val="Strong"/>
    <w:basedOn w:val="Policepardfaut"/>
    <w:uiPriority w:val="99"/>
    <w:qFormat/>
    <w:rsid w:val="005B7A0E"/>
    <w:rPr>
      <w:rFonts w:ascii="Times New Roman" w:hAnsi="Times New Roman" w:cs="Times New Roman"/>
      <w:b/>
      <w:bCs/>
    </w:rPr>
  </w:style>
  <w:style w:type="paragraph" w:styleId="En-tte">
    <w:name w:val="header"/>
    <w:basedOn w:val="Normal"/>
    <w:link w:val="En-tteCar"/>
    <w:uiPriority w:val="99"/>
    <w:rsid w:val="005B7A0E"/>
    <w:pPr>
      <w:tabs>
        <w:tab w:val="center" w:pos="4536"/>
        <w:tab w:val="right" w:pos="9072"/>
      </w:tabs>
    </w:pPr>
  </w:style>
  <w:style w:type="character" w:customStyle="1" w:styleId="En-tteCar">
    <w:name w:val="En-tête Car"/>
    <w:basedOn w:val="Policepardfaut"/>
    <w:link w:val="En-tte"/>
    <w:uiPriority w:val="99"/>
    <w:rsid w:val="005B7A0E"/>
    <w:rPr>
      <w:rFonts w:ascii="Times New Roman" w:hAnsi="Times New Roman" w:cs="Times New Roman"/>
      <w:sz w:val="21"/>
      <w:szCs w:val="21"/>
    </w:rPr>
  </w:style>
  <w:style w:type="paragraph" w:styleId="Pieddepage">
    <w:name w:val="footer"/>
    <w:basedOn w:val="Normal"/>
    <w:link w:val="PieddepageCar"/>
    <w:uiPriority w:val="99"/>
    <w:rsid w:val="005B7A0E"/>
    <w:pPr>
      <w:tabs>
        <w:tab w:val="center" w:pos="4536"/>
        <w:tab w:val="right" w:pos="9072"/>
      </w:tabs>
    </w:pPr>
  </w:style>
  <w:style w:type="character" w:customStyle="1" w:styleId="PieddepageCar">
    <w:name w:val="Pied de page Car"/>
    <w:basedOn w:val="Policepardfaut"/>
    <w:link w:val="Pieddepage"/>
    <w:uiPriority w:val="99"/>
    <w:rsid w:val="005B7A0E"/>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70966-9387-4338-9DD2-3E8EDABC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1876</Words>
  <Characters>10324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POSITION COMMUNE DE LA FRANCE ET DE L’ALLEMAGNE SUR LA DIRECTIVE ACIS</vt:lpstr>
    </vt:vector>
  </TitlesOfParts>
  <Company>Bundesministerium der Finanzen</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COMMUNE DE LA FRANCE ET DE L’ALLEMAGNE SUR LA DIRECTIVE ACIS</dc:title>
  <dc:creator>ABATE Grégory</dc:creator>
  <cp:lastModifiedBy>Compte libre service informatique</cp:lastModifiedBy>
  <cp:revision>2</cp:revision>
  <cp:lastPrinted>2018-06-12T13:48:00Z</cp:lastPrinted>
  <dcterms:created xsi:type="dcterms:W3CDTF">2018-06-20T11:36:00Z</dcterms:created>
  <dcterms:modified xsi:type="dcterms:W3CDTF">2018-06-20T11:36:00Z</dcterms:modified>
</cp:coreProperties>
</file>